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1C_430/2015 vom 15. April 2016</w:t>
      </w:r>
    </w:p>
    <w:p>
      <w:r>
        <w:t>Bundesgericht, 2016-04-15, FR</w:t>
      </w:r>
    </w:p>
    <w:p>
      <w:r>
        <w:rPr>
          <w:b/>
        </w:rPr>
        <w:t xml:space="preserve">Quelle: </w:t>
      </w:r>
      <w:r>
        <w:t>https://mcp.opencaselaw.ch/entscheid/bger_1C_430_2015</w:t>
      </w:r>
    </w:p>
    <w:p>
      <w:r>
        <w:t>FR: TF 1C_430/2015 du 15 avril 2016</w:t>
      </w:r>
    </w:p>
    <w:p>
      <w:r>
        <w:t>IT: TF 1C_430/2015 del 15 aprile 2016</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recevable comme recours en matière de droit public, aucune des exceptions prévues à l' art. 83 LTF n'étant réalisée.</w:t>
      </w:r>
    </w:p>
    <w:p>
      <w:r>
        <w:rPr>
          <w:b/>
        </w:rPr>
        <w:t>E. 1.2</w:t>
      </w:r>
    </w:p>
    <w:p>
      <w:r>
        <w:t>En vertu de l' art. 89 al. 1 LTF , peut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Selon la jurisprudence, le voisin a qualité pour agir lorsque son terrain jouxte celui du constructeur ou se trouve à proximité immédiate de celui-ci ( ATF 121 II 171 consid. 2b p. 174; 115 Ib 508 consid. 5c p. 511). Tel est notamment le cas des propriétaires des parcelles n</w:t>
      </w:r>
    </w:p>
    <w:p>
      <w:r>
        <w:t>os 7117 et 7102 directement voisines du projet de construction litigieux qu'ils tiennent entre autres pour non conforme aux art. 19 et 22 LAT ainsi qu'à la législation cantonale en matière d'indice d'utilisation du sol. Ayant par ailleurs pris part à la procédure devant la cour cantonale, les recourants précités ont qualité pour recourir au sens de l' art. 89 al. 1 LTF . Dans ces circonstances, la qualité pour recourir des autres recourants qui ont agi conjointement avec ces derniers, peut demeurer indécise.</w:t>
      </w:r>
    </w:p>
    <w:p>
      <w:r>
        <w:rPr>
          <w:b/>
        </w:rPr>
        <w:t>E. 1.3</w:t>
      </w:r>
    </w:p>
    <w:p>
      <w:r>
        <w:t>Les autres conditions de recevabilité sont par ailleurs réunies, si bien qu'il y a lieu d'entrer en matière.</w:t>
      </w:r>
    </w:p>
    <w:p>
      <w:r>
        <w:rPr>
          <w:b/>
        </w:rPr>
        <w:t>E. 2</w:t>
      </w:r>
    </w:p>
    <w:p>
      <w:r>
        <w:t>Dans un premier moyen, les recourants se plaignent d'une constatation arbitraire des faits s'agissant de la largeur du chemin des Usses disponible pour le trafic lorsqu'un véhicule y est stationné.</w:t>
      </w:r>
    </w:p>
    <w:p>
      <w:r>
        <w:rPr>
          <w:b/>
        </w:rPr>
        <w:t>E. 2.1</w:t>
      </w:r>
    </w:p>
    <w:p>
      <w:r>
        <w:t>En principe, le Tribunal fédéral statue sur la base des faits établis par l'autorité précédente ( art. 105 al. 1 LTF ), sous réserve des cas prévus à l' art. 105 al. 2 LTF . Les recourants ne peuvent critiquer la constatation des faits que si ceux-ci ont été établis en violation du droit au sens de l' art. 95 LTF ou de façon manifestement inexacte, c'est-à-dire arbitraire, et pour autant que la correction du vice soit susceptible d'influer sur le sort de la cause ( art. 97 al. 1 LTF ; ATF 137 I 58 consid. 4.1.2 p. 62), ce qu'il leur appartient de démontrer par une argumentation répondant aux exigences de l' art. 42 al. 2 LTF , respectivement de l' art. 106 al. 2 LTF ( ATF 133 II 249 consid. 1.4.3 p. 254 s.). A défaut, il n'est pas possible de tenir compte d'un état de fait divergent de celui retenu dans l'acte attaqué.</w:t>
      </w:r>
    </w:p>
    <w:p>
      <w:r>
        <w:rPr>
          <w:b/>
        </w:rPr>
        <w:t>E. 2.2</w:t>
      </w:r>
    </w:p>
    <w:p>
      <w:r>
        <w:t>En l'espèce, les recourants reprochent à l'instance précédente d'avoir retenu qu'à la hauteur de l'un des deux véhicules stationnés au chemin des Usses 10-12 lors de l'inspection locale (à savoir un véhicule 4x4 Volvo X60), la largeur du chemin des Usses disponible pour le trafic était de 3,8 m; ils affirment que les mesures prises par leurs soins indiquaient pourtant une largeur restante de 2,76 m seulement. Par ailleurs, ils relèvent dans ce contexte que l'instance précédente a constaté que la largeur du chemin des Usses au niveau des places de stationnement cadastrées atteignait 5,10 m. Forts de ce constat, ils estiment que le raisonnement de l'instance précédente serait absurde puisqu'il signifierait que le véhicule en question ne présenterait qu'une largeur d'environ 1 m (5,10 - 3,8 m).</w:t>
      </w:r>
    </w:p>
    <w:p>
      <w:r>
        <w:t>L'argumentation développée par les recourants ne permet cependant pas de tenir pour arbitraire le constat de l'instance précédente concernant le chemin litigieux. L'élément de fait critiqué a en l'occurrence été consigné au procès-verbal de l'inspection locale que les recourants ont signé sans former de remarque à ce sujet. Ces derniers perdent en outre de vue que la largeur du chemin des Usses au point considéré atteignait 5,10 m sans compter celle des places de stationnement cadastrées en bordure de route et que le véhicule 4X4 était garé en dehors de la place de parc, comme le confirment notamment les observations faites par l'intimée à l'occasion de la signature du procès-verbal de l'inspection locale (cf. arrêt entrepris consid. 31 [en fait]). Il n'y a dès lors pas lieu de s'écarter des faits retenus par l'instance précédente et le grief des recourants doit être rejeté.</w:t>
      </w:r>
    </w:p>
    <w:p>
      <w:r>
        <w:rPr>
          <w:b/>
        </w:rPr>
        <w:t>E. 3</w:t>
      </w:r>
    </w:p>
    <w:p>
      <w:r>
        <w:t>Les recourants soutiennent ensuite que l'équipement du terrain serait insuffisant, invoquant une violation des art. 19 et 22 LAT .</w:t>
      </w:r>
    </w:p>
    <w:p>
      <w:r>
        <w:rPr>
          <w:b/>
        </w:rPr>
        <w:t>E. 3.1</w:t>
      </w:r>
    </w:p>
    <w:p>
      <w:r>
        <w:t>Conformément à l' art. 22 al. 2 let. b LAT , l'autorisation de construire n'est délivrée que si le terrain est équipé. Tel est le cas selon l' 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 Il faut également que la sécurité des usagers soit garantie sur toute sa longueur, que la visibilité et les possibilités de croisement soient suffisantes et que l'accès des services de secours et de voirie soit assuré (arrêt 1C_245/2014 du 10 novembre 2014 consid. 4.1 et les références). Par ailleurs,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dans le voisinage ( ATF 129 II 238 consid. 2 p. 241).</w:t>
      </w:r>
    </w:p>
    <w:p>
      <w:r>
        <w:t>Dans le cadre de l'interprétation et de l'application de la notion d'accès suffisant, les autorités communales et cantonales disposent d'une importante marge d'appréciation que le Tribunal fédéral doit respecter, en particulier quand il s'agit d'évaluer les circonstances locales (cf. ATF 121 I 65 consid. 3a p. 68; arrêt 1P.319/2002 du 25 novembre 2002 consid. 3 in RDAT 2003 I n° 59 p. 211; cf. également ATF 140 I 168 consid. 4.2.1 p. 173).</w:t>
      </w:r>
    </w:p>
    <w:p>
      <w:r>
        <w:rPr>
          <w:b/>
        </w:rPr>
        <w:t>E. 3.2</w:t>
      </w:r>
    </w:p>
    <w:p>
      <w:r>
        <w:t>En l'espèce, pour considérer que les chemins de la Vigneraie et des Usses constituaient un accès suffisant au sens de la jurisprudence précitée, la Cour de justice s'est fondée sur le préavis de la Direction générale de la mobilité (devenue depuis lors la Direction générale des transports), ainsi que sur les constatations faites lors de l'inspection locale. L'instance précédente a en l'occurrence retenu que, compte tenu des places de stationnement existantes et induites par le projet litigieux, ainsi que des caractéristiques du chemin du Port équivalant à celles d'une route de desserte de quartier, les chemins de la Vigneraie et des Usses devaient être qualifiés d'accès riverains de type A/B pour lesquels la norme VSS 640 050 préconisait, pour une circulation dans les deux sens, une largeur de route de 3 à 5 m. Or, lors de l'inspection locale, l'instance précédente a précisément établi que la largeur du chemin des Usses était supérieure à 5 m; elle a également pu constater que, même en présence d'un véhicule de type 4X4 mal garé sur l'une des places de stationnement cadastrées en bordure de route, la largeur restante de la chaussée disponible pour le trafic (3,8 m) était encore suffisante pour assurer l'accès aux services de secours et de la voirie. Aux yeux de la Cour de justice, le caractère adapté de la voie d'accès par rapport à l'utilisation prévue était par ailleurs confirmé par la configuration des lieux. Enfin, nonobstant l'absence d'un trottoir, la sécurité des piétons empruntant les chemins de la Vigneraie et des Usses n'était pas compromise compte tenu de leurs caractéristiques.</w:t>
      </w:r>
    </w:p>
    <w:p>
      <w:r>
        <w:t>Les recourants critiquent cette appréciation. Ils soutiennent que les normes VSS topiques émises par l'Union des professionnels suisses de la route - auxquelles il y aurait lieu de se référer - ne seraient pas respectées. Ils affirment que, selon la norme VSS 640 050 applicable, la largeur du chemin des Usses devrait être de 5 m (cf. Tab. 1 et 2) : il s'agirait en effet d'une route d'accès de type B puisqu'elle serait raccordée au chemin du Port qui constituerait, quant à lui, une route collectrice de quartier et non pas une route de desserte de quartier, comme l'aurait retenu à tort l'instance précédente. Le chemin des Usses ne serait dès lors pas assez large. Enfin, ils soutiennent que la norme VSS précitée exigerait également l'aménagement d'un trottoir sur les chemins de la Vigneraie et des Usses; faute d'un tel aménagement, la sécurité des piétons ne serait pas assurée.</w:t>
      </w:r>
    </w:p>
    <w:p>
      <w:r>
        <w:t>Les critiques des recourants doivent cependant être écartées. En effet, ces derniers soutiennent de manière purement appellatoire que le chemin des Usses devrait être qualifié d'accès riverain de type B et se contentent sur ce point d'opposer leur propre appréciation à celle de l'instance précédente qui a retenu qu'il s'agissait d'un accès riverain de type A/B. Ils ne démontrent pas le caractère arbitraire de l'interprétation et de l'application des normes VSS par l'instance précédente. Il n'y a dès lors pas lieu de s'écarter de l'appréciation de cette dernière selon laquelle la norme VSS applicable au cas d'espèce préconise une largeur de la chaussée de 3 à 5 m pour le chemin des Usses, lequel satisfait à cette exigence. En effet, l'instance précédente a constaté lors de la vision locale que le chemin des Usses présentait une largeur supérieure à 5 m sur tout le tracé considéré. Les recourants ne sont ainsi pas parvenus à rendre vraisemblable que le chemin des Usses ne serait pas assez large pour l'utilisation prévue. Au demeurant, le fait qu'à la hauteur d'un véhicule mal stationné, il serait impossible de croiser un autre véhicule n'apparaît pas déterminant; la norme en question n'exige d'ailleurs pas que les véhicules circulant en sens inverse puissent se croiser en tout point du chemin.</w:t>
      </w:r>
    </w:p>
    <w:p>
      <w:r>
        <w:t>Par ailleurs, les recourants se prévalent en vain du fait que les chemins de la Vigneraie et des Usses sont dépourvus de trottoir. Certes, la norme VSS 640 045 recommande l'aménagement d'un trottoir ou d'une voie latérale ou mixte. Il n'en demeure pas moins que ces chemins constituent, au vu des constatations de l'instance précédente, un accès suffisant au sens de la jurisprudence précitée (cf. consid. 3.1), étant en particulier relevé que les normes VSS ne constituent pas des règles de droit et ne lient en principe pas les autorités (cf. arrêt 1C_90/2011 du 20 juillet 2011 consid. 4.2 in JdT 2011 I 297). L'instance précédente a en effet considéré que la sécurité des piétons n'était pas compromise par la réalisation du projet, compte tenu de la vitesse très réduite à laquelle les automobilistes étaient contraints de circuler sur ce type de voies, comme de leur tracé pratiquement rectiligne qui offrait de bonnes conditions de visibilité. Le Tribunal de céans n'a pas de raison de s'écarter de l'appréciation de l'instance précédente qui connaissait mieux les circonstances locales (cf. supra consid. 3.1); celle-ci apparaît au demeurant exempte d'arbitraire. Il sied d'ailleurs de relever que la commune n'a pas invoqué l'insuffisance des voies d'accès dans ses recours cantonaux. Au vu des considérations précitées, les recourants invoquent en vain le chiffre 8 de la norme VSS 640 050 prescrivant le maintien d'une largeur libre de 20 cm à coté de l'accès en présence d'un mur.</w:t>
      </w:r>
    </w:p>
    <w:p>
      <w:r>
        <w:t>C'est en outre également en vain que ces derniers soutiennent qu'un accès direct depuis la route d'Hermance aurait été préférable, le Tribunal fédéral devant, comme évoqué précédemment, faire preuve de retenue sur ce point s'agissant de l'appréciation des circonstances locales.</w:t>
      </w:r>
    </w:p>
    <w:p>
      <w:r>
        <w:rPr>
          <w:b/>
        </w:rPr>
        <w:t>E. 3.3</w:t>
      </w:r>
    </w:p>
    <w:p>
      <w:r>
        <w:t>Les recourants se prévalent encore du fait que la parcelle n° 8'743 ne bénéficierait d'aucune servitude de passage à véhicule sur les parcelles nos 7'120 et 8'744 formant le chemin de la Vigneraie. Selon eux, l'accès aux deux places de parking extérieures situées sur la parcelle n° 8'743 ne serait donc pas juridiquement assuré, de sorte que le projet dans son ensemble ne pouvait être autorisé. En l'occurrence, les recourants ne contestent pas que l'accès aux villas projetées sur la parcelle n° 7'119 est garanti d'un point de vue juridique. Ils basent leur argumentation exclusivement sur le fait qu'aucune servitude de droit de passage à véhicule n'existerait en faveur de la parcelle n° 8'743. Ce faisant, ils ne démontrent cependant pas en quoi cet élément concernant la parcelle n° 8'743 serait déterminant pour la résolution du présent litige, étant relevé que le bien-fonds n° 7'119 destiné à la construction des villas est, quant à lui, doté d'une voie d'accès suffisante; il sied en outre de relever que l'aménagement de places de stationnement n'est pas un élément de l'équipement au sens de l' art. 19 al. 1 LAT (ANDRÉ JOMINI, in Aemisegger/Moor/Ruch/Tschannen [édit.], Commentaire de la LAT, 2010 n. 28 ad art. 19 LAT ). Ce moyen doit dès lors être écarté.</w:t>
      </w:r>
    </w:p>
    <w:p>
      <w:r>
        <w:rPr>
          <w:b/>
        </w:rPr>
        <w:t>E. 3.4</w:t>
      </w:r>
    </w:p>
    <w:p>
      <w:r>
        <w:t>Il résulte de ce qui précède que la cour cantonale pouvait, sans violer le droit fédéral, considérer que l'accès aux futures villas était suffisant au regard des art. 19 al. 1 et 22 al. 2 let. b LAT. Sur ce point, le recours doit dès lors être rejeté dans la mesure de sa recevabilité.</w:t>
      </w:r>
    </w:p>
    <w:p>
      <w:r>
        <w:rPr>
          <w:b/>
        </w:rPr>
        <w:t>E. 4</w:t>
      </w:r>
    </w:p>
    <w:p>
      <w:r>
        <w:t>Les recourants soutiennent ensuite que projet contreviendrait également à l'art. 14 LCI.</w:t>
      </w:r>
    </w:p>
    <w:p>
      <w:r>
        <w:rPr>
          <w:b/>
        </w:rPr>
        <w:t>E. 4.1</w:t>
      </w:r>
    </w:p>
    <w:p>
      <w:r>
        <w:t>Selon l'art. 14 de la loi genevoise sur les constructions et les installations diverses (LCI, RS/GE L 5 05),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ou peut créer, par sa nature, sa situation ou le trafic que provoque sa destination ou son exploitation, un danger ou une gêne durable pour la circulation (let. e).</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rPr>
          <w:b/>
        </w:rPr>
        <w:t>E. 4.2</w:t>
      </w:r>
    </w:p>
    <w:p>
      <w:r>
        <w:t>A l'appui de leur grief tiré d'une violation de l'art. 14 LCI, les recourants font valoir pour l'essentiel que la construction des villas litigieuses - destinées selon eux à accueillir des familles avec enfants - engendrera une augmentation du trafic de 70 % sur le seul chemin de la Vigneraie. Cette argumentation, de nature purement appellatoire, ne satisfait pas aux exigences accrues de motivation précitées et est donc irrecevable. Les intéressés ne proposent en particulier aucune démonstration du caractère arbitraire de l'appréciation de l'instance précédente qui a estimé que la construction de huit villas supplémentaires, même si elle aura incontestablement des effets sur la situation des voisins en leur imposant notamment de circuler avec une plus grande prudence, ne sera pas source d'importantes nuisances, ni n'induira un trafic incompatible avec les caractéristiques d'un quartier de villas qui compte déjà une quarantaine d'unités de logement; cette appréciation n'apparaît au demeurant pas insoutenable.</w:t>
      </w:r>
    </w:p>
    <w:p>
      <w:r>
        <w:rPr>
          <w:b/>
        </w:rPr>
        <w:t>E. 5</w:t>
      </w:r>
    </w:p>
    <w:p>
      <w:r>
        <w:t>Les recourants se plaignent enfin d'une application arbitraire de l'art. 59 al. 4 LCI qui fixe le rapport des surfaces admissible dans la zone 5. Ils estiment que le projet de construction litigieux excéderait le rapport, ou l'indice, maximal autorisé par cette disposition.</w:t>
      </w:r>
    </w:p>
    <w:p>
      <w:r>
        <w:rPr>
          <w:b/>
        </w:rPr>
        <w:t>E. 5.1</w:t>
      </w:r>
    </w:p>
    <w:p>
      <w:r>
        <w:t>L'art. 59 LCI, relatif au rapport des surfaces, dispose que la surface de la construction, exprimée en m</w:t>
      </w:r>
    </w:p>
    <w:p>
      <w:r>
        <w:t>2 de plancher (soit la surface brute de plancher de la totalité de la construction hors sol; cf. art. 59 al. 2 LCI), ne doit pas excéder 25% de la surface de la parcelle; cette surface peut être portée à 27,5% lorsque la construction est conforme à un standard de haute performance énergétique, respectivement à 30% lorsque la construction est conforme à un standard de très haute performance énergétique, reconnue comme telle par le service compétent (al. 1).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de la surface du terrain, 44% lorsque la construction est conforme à un standard de haute performance énergétique, 48% lorsque la construction est conforme à un standard de très haute performance énergétique, reconnue comme telle par le service compétent (al. 4 let. a).</w:t>
      </w:r>
    </w:p>
    <w:p>
      <w:r>
        <w:t>La jurisprudence considère que le transfert des possibilités de bâtir est admis en droit suisse, même sans disposition légale expresse, l'essentiel étant que la surface voisine mise à contribution pour le calcul de la surface constructible ne puisse plus servir ultérieurement à un tel calcul. Il en a été déduit que ceci implique pratiquement que la surface soit grevée d'une servitude de non-bâtir au profit de la collectivité ( ATF 109 Ia 188 consid. 3 p. 190; 101 Ia 289 consid. 3a p. 291).</w:t>
      </w:r>
    </w:p>
    <w:p>
      <w:r>
        <w:rPr>
          <w:b/>
        </w:rPr>
        <w:t>E. 5.2</w:t>
      </w:r>
    </w:p>
    <w:p>
      <w:r>
        <w:t>Pour le calcul du rapport des surfaces dans le cas particulier, l'autorité cantonale a pris en compte la surface totale des parcelles contiguës en mains des mêmes propriétaires, procédant de la sorte à un transfert des droits à bâtir des parcelles n</w:t>
      </w:r>
    </w:p>
    <w:p>
      <w:r>
        <w:t>os 8'743 et 9'450 et de la part de copropriété de la parcelle n</w:t>
      </w:r>
    </w:p>
    <w:p>
      <w:r>
        <w:t>o 7'120 sur le bien-fonds no 7'119. Rapportant la surface brute de plancher des constructions hors-sol prévue par le projet (994,50 m</w:t>
      </w:r>
    </w:p>
    <w:p>
      <w:r>
        <w:t>2 ) à la surface totale du terrain disponible (2'261 m</w:t>
      </w:r>
    </w:p>
    <w:p>
      <w:r>
        <w:t>2 [ (1'740 + 91 + 350 + 80]), l'autorité cantonale a conclu au respect de l'indice maximal autorisé par l'art. 59 al. 4 let. a LCI (994,50 : 2'261 = 0,44, soit un rapport de surfaces de 44%).</w:t>
      </w:r>
    </w:p>
    <w:p>
      <w:r>
        <w:t>Les recourants ne contestent pas les conditions d'application de l'indice de 44 %, à la place de l'indice de base, moins élevé, de l'art. 59 al. 1 LCI s'agissant d'un projet de construction en ordre contigu remplissant les exigences du label Minergie. Ils ne remettent pas non plus en cause la possibilité, en droit cantonal genevois, d'effectuer un transfert d'indice d'utilisation du sol entre terrains vo isins situés dans la même zone et ne critiquent pas cette opération pour la part de copropriété de la parcelle no 7'120. Ils soutiennent cependant que les droits à bâtir des parcelles nos 8'743 et 9'450 ne pouvaient pas être reportés en faveur de la parcelle n° 7'119 au motif que les deux premières ne disposaient pas d'un accès juridiquement garanti au chemin de la Vigneraie; un tel transfert des possibilités de bâtir contournerait selon eux les exigences de l' art. 22 LAT en matière d'équipement suffisant. L'indice d'utilisation du sol s'élèverait dans le cas d'espèce à 55 % (994.50 :1'820) et violerait par conséquent l'art. 59 al. 4 LCI prévoyant un rapport maximal de 44 %.</w:t>
      </w:r>
    </w:p>
    <w:p>
      <w:r>
        <w:t>La question de l'IUS relève du droit cantonal dont le Tribunal fédéral revoit l'application sous l'angle de l'arbitraire. Or, les recourants ne démontrent pas en quoi le report des droits à bâtir afférents aux parcelles nos 8'743 et 9'450 serait déraisonnable ou manifestement contraire au but de la législation cantonale, en particulier à l'art. 59 LCI; ils se contentent simplement d'affirmer que ces parcelles ne bénéficieraient pas d'une voie d'accès suffisante d'un point de vue juridique, de sorte que leur critique ne satisfait pas aux exigences accrues de motivation de l' art. 106 al. 2 LTF . Au demeurant, on ne voit pas en quoi la décision de l'instance précédente serait arbitraire. En effet, le seul fait que l'accès aux parcelles nos 8'743 et 9'450 ne serait pas juridiquement garanti ne rend pas pour autant arbitraire le transfert des droits à bâtir y afférents sur la parcelle équipée contiguë n° 7'119 située dans la même zone. En outre, le transfert des possibilités de construire n'apparaît pas insoutenable du point de vue de l'aménagement du territoire. Au contraire, il permet en l'espèce une utilisation rationnelle du sol dès lors que la forme étroite et allongée des parcelles nos 8'743 et 9'450 - disposées de surcroît en équerre - est peu propice à la construction.</w:t>
      </w:r>
    </w:p>
    <w:p>
      <w:r>
        <w:t>Les recourants reprochent en outre à l'instance précédente de ne pas s'être prononcée sur ce grief soulevé en procédure cantonale. Leur critique, à supposer recevable, tombe toutefois à faux. En effet, la Cour de justice a précisément relevé sur ce point que le report des droits à bâtir ne contrevenait pas à l' art. 22 al. 2 let. b LAT qui n'exigeait pas que chaque parcelle située en zone à bâtir soit pourvue d'un accès propre, mais uniquement que celles destinées à la construction soient équipées de la sorte; elle a donc estimé qu'il suffisait de constater que la rampe d'accès au parking commun sera implantée sur la parcelle n° 7'119, elle-même raccordée au chemin de la Vigneraie, pour admettre la conformité du projet au droit de la construction.</w:t>
      </w:r>
    </w:p>
    <w:p>
      <w:r>
        <w:rPr>
          <w:b/>
        </w:rPr>
        <w:t>E. 6</w:t>
      </w:r>
    </w:p>
    <w:p>
      <w:r>
        <w:t>Dans un ultime moyen, les recourants soutiennent qu'une réunion parcellaire entre les parcelles nos 7'120, 8'743 et 9'450 contrevient à l' art. 974b al. 3 CC aux termes duquel lorsque des servitudes, des annotations ou des mentions sont inscrites en faveur des immeubles, ceux-ci ne peuvent être réunis que si les propriétaires des immeubles grevés y consentent ou si la réunion n'entraîne aucune aggravation de la charge. Ce moyen tiré de la violation de l' art. 974b al. 3 CC doit être écarté. En effet, comme relevé à juste titre par l'instance précédente, il ne lui appartient pas de se prononcer sur la conformité à l' art. 974b al. 3 CC du projet de réunion/division des parcelles nos 7'119, 8'743 et 9'450 envisagé par l'intimée. La question de savoir si ce dernier entraînerait une aggravation des servitudes grevant les parcelles nos 8'744 ou 7'120, de sorte qu'elle serait soumise à l'accord des copropriétaires desdits biens-fonds, ressortit en effet au droit privé et n'a pas à être tranchée par les autorités administratives chargées de la délivrance d'une autorisation de construire (cf. art. 3 al. 6 LCI).</w:t>
      </w:r>
    </w:p>
    <w:p>
      <w:r>
        <w:rPr>
          <w:b/>
        </w:rPr>
        <w:t>E. 7</w:t>
      </w:r>
    </w:p>
    <w:p>
      <w:r>
        <w:t>Les considérants qui précèdent conduisent au rejet du recours dans la mesure de sa recevabilité. Les recourants, qui succombent, supporteront les frais judiciaires ( art. 65 et 66 LTF ). Ils verseront en outre une indemnité de dépens à l'intimée, qui obtient gain de cause avec l'assistance d'un avocat ( art. 68 al. 1 et 2 LTF ). Il n'est pas alloué de dépens à la Commune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