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1C_430/2014 vom 19. September 2014</w:t>
      </w:r>
    </w:p>
    <w:p>
      <w:r>
        <w:t>Bundesgericht, 2014-09-19, FR</w:t>
      </w:r>
    </w:p>
    <w:p>
      <w:r>
        <w:rPr>
          <w:b/>
        </w:rPr>
        <w:t xml:space="preserve">Quelle: </w:t>
      </w:r>
      <w:r>
        <w:t>https://mcp.opencaselaw.ch/entscheid/bger_1C_430_2014</w:t>
      </w:r>
    </w:p>
    <w:p>
      <w:r>
        <w:t>FR: TF 1C_430/2014 du 19 septembre 2014</w:t>
      </w:r>
    </w:p>
    <w:p>
      <w:r>
        <w:t>IT: TF 1C_430/2014 del 19 settembre 2014</w:t>
      </w:r>
    </w:p>
    <w:p>
      <w:pPr>
        <w:pStyle w:val="Heading2"/>
      </w:pPr>
      <w:r>
        <w:t>Erwägungen</w:t>
      </w:r>
    </w:p>
    <w:p>
      <w:r>
        <w:rPr>
          <w:b/>
        </w:rPr>
        <w:t>E. 1</w:t>
      </w:r>
    </w:p>
    <w:p>
      <w:r>
        <w:t>Selon les art. 107 al. 3 et 109 al. 1 LTF, la cour siège à trois juges lorsqu'elle refuse d'entrer en matière sur un recours soumis à l'exigence de l' art. 84 LTF .</w:t>
      </w:r>
    </w:p>
    <w:p>
      <w:r>
        <w:rPr>
          <w:b/>
        </w:rPr>
        <w:t>E. 1.1</w:t>
      </w:r>
    </w:p>
    <w:p>
      <w:r>
        <w:t>A teneur de cette disposition, le recours est notamment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des faits à l'origine de la demande et de la nature de la transmission envisagée, portant sur la documentation relative à un compte bancaire déterminé, le cas ne revêt en soi aucune importance particulière.</w:t>
      </w:r>
    </w:p>
    <w:p>
      <w:r>
        <w:rPr>
          <w:b/>
        </w:rPr>
        <w:t>E. 1.3</w:t>
      </w:r>
    </w:p>
    <w:p>
      <w:r>
        <w:t>La recourante soutient que la demande d'entraide se fonderait sur des documents volés à la banque par un employé et remis au fisc français, puis espagnol. L'utilisation de telles données dans une procédure constituerait une violation de l'ordre juridique suisse et international, et présenterait un vice grave de la procédure étrangère. Si la recourante entend y voir une question de principe, on s'étonne qu'elle n'ait pas soulevé ce grief devant la Cour des plaintes, laquelle s'est limitée à examiner le grief tiré du principe de la proportionnalité. Or, la recourante connaissait depuis longtemps la problématique liée au vol de données puisqu'une directive de l'OFJ a été émise à ce sujet en octobre 2010 déjà et qu'un échange de lettres a eu lieu sur ce point entre l'OFJ, le MPC et le mandataire de la recourante en 2012 et 2013. S'agissant d'une question susceptible de justifier une entrée en matière, celle-ci devait à tout le moins être soumise à l'instance précédente. Supposé recevable, le grief devrait de toute manière être écarté: après avoir examiné le problème conjointement avec le MPC, l'OFJ a considéré que l'autorité requérante avait eu connaissance de la relation bancaire litigieuse non pas sur la base de données volées, mais à l'issue d'une perquisition opérée en 2005 dans un cabinet d'avocats de Madrid. La recourante ne fait rien valoir qui permettrait de remettre en cause cette appréciation.</w:t>
      </w:r>
    </w:p>
    <w:p>
      <w:r>
        <w:rPr>
          <w:b/>
        </w:rPr>
        <w:t>E. 1.4</w:t>
      </w:r>
    </w:p>
    <w:p>
      <w:r>
        <w:t>Quant au second grief, relatif au principe de la proportionnalité, il ne saurait constituer un motif d'entrer en matière. La recourante n'indique d'ailleurs pas en quoi il s'agirait d'une question de principe, la Cour des plaintes ayant expliqué à satisfaction pourquoi les enquêteurs étrangers n'avaient pas pu requérir la remise des pièces visées lors de la séance de tri, et en quoi ces pièces présentent un intérêt potentiel pour l'enquête.</w:t>
      </w:r>
    </w:p>
    <w:p>
      <w:r>
        <w:rPr>
          <w:b/>
        </w:rPr>
        <w:t>E. 2</w:t>
      </w:r>
    </w:p>
    <w:p>
      <w:r>
        <w:t>Sur le vu de ce qui précède, le recours est irrecevable.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