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42/2009 vom 14. Mai 2009</w:t>
      </w:r>
    </w:p>
    <w:p>
      <w:r>
        <w:t>Bundesgericht, 2009-05-14, FR</w:t>
      </w:r>
    </w:p>
    <w:p>
      <w:r>
        <w:rPr>
          <w:b/>
        </w:rPr>
        <w:t xml:space="preserve">Quelle: </w:t>
      </w:r>
      <w:r>
        <w:t>https://mcp.opencaselaw.ch/entscheid/bger_1C_42_2009</w:t>
      </w:r>
    </w:p>
    <w:p>
      <w:r>
        <w:t>FR: TF 1C 42/2009 du 14 mai 2009</w:t>
      </w:r>
    </w:p>
    <w:p>
      <w:r>
        <w:t>IT: TF 1C 42/2009 del 14 maggio 2009</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au recourant, si bien qu'il peut faire l'objet d'un recours en matière de droit public devant la Cour de céans (art. 82 al. 1 let. a et 86 al. 1 let. a LTF, art. 29 al. 1 let . f RTF).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grief d'ordre formel qu'il convient d'examiner en premier lieu, le recourant invoque l' art. 29 al. 2 Cst. pour se plaindre d'une violation de son droit d'être entendu.</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132 II 485 consid. 3.2 p. 494, V 368 consid. 3.1 p. 371; 129 II 497 consid. 2.2 p. 504 s.; 127 I 54 consid. 2b p. 56; 124 I 48 consid. 3a p. 51 et les arrêts cités).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 2.2 p. 204; 129 I 129 consid. 2.2.3 p. 135; 127 V 431 consid. 3d/aa p. 437; 126 V 130 consid. 2b p. 132).</w:t>
      </w:r>
    </w:p>
    <w:p>
      <w:r>
        <w:rPr>
          <w:b/>
        </w:rPr>
        <w:t>E. 2.2</w:t>
      </w:r>
    </w:p>
    <w:p>
      <w:r>
        <w:t>En l'espèce, le recourant se plaint du fait qu'il n'a pas été informé de l'échange de correspondances entre l'ODM et l'avocate de son ex-épouse et qu'il n'a donc pas pu se déterminer sur la réponse du 12 juin 2006. Or, l'ODM aurait retenu un élément décisif sur la base de ce document, à savoir le fait que son ex-épouse n'avait pas compris le sens de la déclaration commune signée le 15 septembre 2001. Le Tribunal administratif fédéral a constaté une violation du droit d'être entendu à cet égard, mais il a considéré que ce vice de procédure avait été réparé. Le recourant ne remet pas sérieusement en question cette appréciation, mais il se borne à affirmer qu'elle est arbitraire, sans aucunement le démontrer. Cette critique est dès lors irrecevable. Au demeurant, l'intéressé a bien été en mesure de s'exprimer de manière complète et détaillée sur la question devant le Tribunal administratif fédéral, qui dispose d'un plein pouvoir d'examen (cf. art. 49 de la loi fédérale du 20 décembre 1968 sur la procédure administrative [PA; RS 172.021], applicable par renvoi de l' art. 37 LTAF ), de sorte que le vice est effectivement réparé. Pour le surplus, le recourant se plaint du fait qu'il n'a pas pu requérir le témoignage de son ex-épouse au sujet de la déclaration commune du 15 septembre 2001. Compte tenu des éléments fondant la présomption d'une obtention frauduleuse de la naturalisation facilitée (cf. infra consid. 3.2), la question de savoir si l'ex-épouse du recourant avait bien compris la déclaration commune n'apparaît pas décisive, de sorte qu'il n'est pas établi que ce moyen de preuve ait été de nature à influer sur la décision litigieuse. Quoi qu'il en soit, le recourant n'allègue pas avoir formellement requis cette mesure d'instruction devant le Tribunal administratif fédéral, de sorte qu'on ne saurait voir une violation du droit d'être entendu à cet égard. Ce premier moyen doit donc être rejeté, dans la mesure où il est recevable.</w:t>
      </w:r>
    </w:p>
    <w:p>
      <w:r>
        <w:rPr>
          <w:b/>
        </w:rPr>
        <w:t>E. 3</w:t>
      </w:r>
    </w:p>
    <w:p>
      <w:r>
        <w:t>Invoquant une violation de l' art. 41 LN , le recourant reproche en substance au Tribunal administratif fédéral d'avoir retenu à tort qu'il avait obtenu sa naturalisation facilitée de manière frauduleuse.</w:t>
      </w:r>
    </w:p>
    <w:p>
      <w:r>
        <w:rPr>
          <w:b/>
        </w:rPr>
        <w:t>E. 3.1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3.1.1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116 V 307 consid. 2 p. 310 et les arrêts cités).</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(arrêt 1C_190/2008 du 29 janvier 2009, consid. 3 destiné à la publication et les arrêts cités).</w:t>
      </w:r>
    </w:p>
    <w:p>
      <w:r>
        <w:rPr>
          <w:b/>
        </w:rPr>
        <w:t>E. 3.2</w:t>
      </w:r>
    </w:p>
    <w:p>
      <w:r>
        <w:t>En l'espèce, le Tribunal administratif fédéral a considéré que l'enchaînement des événements - déclaration commune le 15 septembre 2001, naturalisation le 4 octobre 2001 et introduction d'une demande de mesures protectrices de l'union conjugale le 27 mars 2002 - fondait la présomption que le couple n'envisageait déjà plus une vie future partagée lors de la signature de la déclaration de vie commune. Cette présomption de fait n'est pas discutée en l'occurrence. Elle peut effectivement se fonder sur un enchaînement rapide des événements, la séparation du couple étant survenue moins de six mois après l'obtention de la naturalisation. Il convient donc de déterminer si le recourant a pu renverser cette présomption, notamment en rendant vraisemblable qu'il n'avait pas menti en déclarant former une communauté stable avec son épouse.</w:t>
      </w:r>
    </w:p>
    <w:p>
      <w:r>
        <w:rPr>
          <w:b/>
        </w:rPr>
        <w:t>E. 3.2.1</w:t>
      </w:r>
    </w:p>
    <w:p>
      <w:r>
        <w:t>Le Tribunal administratif fédéral a estimé que les explications données par le recourant n'étaient pas de nature à renverser la présomption. Les retrouvailles entre son ex-épouse et les anciennes collègues de celle-ci n'avait pas pu subitement précipiter la fin de la vie de couple des intéressés, sauf à considérer que leur union était inconsistante, aucune preuve n'ayant au demeurant été apportée à ce sujet. Le fait que le couple avait dû se rendre à l'évidence qu'il n'aurait pas d'enfant n'était pas non plus décisif, cette issue étant d'emblée envisageable dès lors que l'ex-épouse de l'intéressé était âgée de quarante ans au moment du mariage. Enfin, le recourant n'était pas crédible lorsqu'il affirmait avoir été surpris par la demande de séparation déposée par son ex-épouse le 27 mars 2002, puisque le bail à loyer de l'appartement qu'il a loué lorsqu'il a quitté le domicile conjugal a débuté le 1er avril 2002 déjà.</w:t>
      </w:r>
    </w:p>
    <w:p>
      <w:r>
        <w:rPr>
          <w:b/>
        </w:rPr>
        <w:t>E. 3.2.2</w:t>
      </w:r>
    </w:p>
    <w:p>
      <w:r>
        <w:t>Le recourant ne remet pas en cause cette appréciation de manière convaincante. Il se borne à affirmer, sans aucunement le démontrer, que "l'entente dans le couple était harmonieuse" au moment de la demande et de l'octroi de la naturalisation. Il répète en outre que l'ODM aurait dû procéder à l'audition de son ex-épouse, mais il n'explique pas quels éléments cette mesure d'instruction aurait permis d'établir. Par ailleurs, les critiques du recourant portant sur les accusations de violences conjugales ne sont pas pertinentes, dans la mesure où le Tribunal administratif fédéral ne s'est pas fondé sur cet élément, laissant la question indécise. Le recourant se plaint enfin d'une constatation arbitraire des faits en ce qui concerne les circonstances de la rupture. Il est vrai que certaines affirmations contenues dans l'arrêt attaqué sont discutables, notamment celles relatives à "l'expérience générale" en matière de "processus prolongé de dégradation des rapports conjugaux, en principe entrecoupé de tentatives de réconciliation". On peut en effet difficilement admettre l'établissement de telles règles générales dans ce domaine. Cet élément n'est cependant pas déterminant en l'espèce, vu l'enchaînement des événements fondant la présomption de fait et l'absence d'éléments probants susceptibles de la renverser.</w:t>
      </w:r>
    </w:p>
    <w:p>
      <w:r>
        <w:rPr>
          <w:b/>
        </w:rPr>
        <w:t>E. 4</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