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1C_428/2013 vom 15. November 2013</w:t>
      </w:r>
    </w:p>
    <w:p>
      <w:r>
        <w:t>Bundesgericht, 2013-11-15, FR</w:t>
      </w:r>
    </w:p>
    <w:p>
      <w:r>
        <w:rPr>
          <w:b/>
        </w:rPr>
        <w:t xml:space="preserve">Quelle: </w:t>
      </w:r>
      <w:r>
        <w:t>https://mcp.opencaselaw.ch/entscheid/bger_1C_428_2013</w:t>
      </w:r>
    </w:p>
    <w:p>
      <w:r>
        <w:t>FR: TF 1C_428/2013 du 15 novembre 2013</w:t>
      </w:r>
    </w:p>
    <w:p>
      <w:r>
        <w:t>IT: TF 1C_428/2013 del 15 novembre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celui-ci n'est en revanche pas clairement définie. L'arrêt attaqué laisse en effet la question indécise. Dans ses dernières écritures, l'intimé prétend toutefois vouloir affecter la construction à de la résidence principale.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 en résidence principale ou secondaire - ne paraît d'ailleurs pas être clairement définie, compte tenu des dernières prises de position du constructeur. Celui-ci devra donc, s'il maintient sa demande de permis de construire, apporter les éclaircissements nécessaires sur ces points. Il y a ainsi lieu d'annuler le permis de construire (dont l'admissibilité n'est en l'état pas démontrée) et de renvoyer la cause à l'autorité communale pour nouvelle décision.</w:t>
      </w:r>
    </w:p>
    <w:p>
      <w:r>
        <w:rPr>
          <w:b/>
        </w:rPr>
        <w:t>E. 4</w:t>
      </w:r>
    </w:p>
    <w:p>
      <w:r>
        <w:t>Compte tenu de l'issue de la cause, les frais judiciaires sont mis à la charge de l'intimé qui, à ce stade, succombe (art. 66 al. 1 et 68 al. 1 LTF). Il y a lieu également, conformément aux art. 67 et 68 al. 5 LTF , de fixer les frais et dépens pour la procédure devant le Tribunal cantonal. Compte tenu de ce qui précède, celui-ci aurait dû statuer en défaveur du constructeur, ce qui justifie la mise à sa charge des frais de justice, ainsi que des dépens en faveur de la recourante. S'agissant de la procédure devant le Tribunal fédéral, la recourante n'a été représentée que pour sa dernière prise de position. Il convient ainsi de réduire les dépens et de les fixer à 1'500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