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1C_427/2019 vom 28. August 2019</w:t>
      </w:r>
    </w:p>
    <w:p>
      <w:r>
        <w:t>Bundesgericht, 2019-08-28, DE</w:t>
      </w:r>
    </w:p>
    <w:p>
      <w:r>
        <w:rPr>
          <w:b/>
        </w:rPr>
        <w:t xml:space="preserve">Quelle: </w:t>
      </w:r>
      <w:r>
        <w:t>https://mcp.opencaselaw.ch/entscheid/bger_1C_427_2019</w:t>
      </w:r>
    </w:p>
    <w:p>
      <w:r>
        <w:t>FR: TF 1C_427/2019 du 28 août 2019</w:t>
      </w:r>
    </w:p>
    <w:p>
      <w:r>
        <w:t>IT: TF 1C_427/2019 del 28 agosto 2019</w:t>
      </w:r>
    </w:p>
    <w:p>
      <w:pPr>
        <w:pStyle w:val="Heading2"/>
      </w:pPr>
      <w:r>
        <w:t>Erwägungen</w:t>
      </w:r>
    </w:p>
    <w:p>
      <w:r>
        <w:rPr>
          <w:b/>
        </w:rPr>
        <w:t>E. 1</w:t>
      </w:r>
    </w:p>
    <w:p>
      <w:r>
        <w:t>A.________ erstattete am 6. September 2018 Strafanzeige gegen eine ehemalige Sozialarbeiterin der Gemeinde Ottenbach und einen Mitarbeiter des Sozialdienstes des Bezirks Affoltern wegen Veruntreuung. A.________ wirft den Angezeigten zusammengefasst vor, sie hätten den Überschuss, der sich aus den rückwirkend ausbezahlten IV- und Ergänzungsleistungen ergab, falsch berechnet. Die Staatsanwaltschaft Limmattal/Albis überwies mit Verfügung vom 9. Mai 2019 die Akten dem Obergericht, um über die Erteilung bzw. Nichterteilung der Ermächtigung zur Durchführung einer Strafuntersuchung zu entscheiden. Mit Beschluss vom 24. Juli 2019 erteilte die III. Strafkammer des Obergerichts des Kantons Zürich der Staatsanwaltschaft Limmattal/Albis die Ermächtigung zum Entscheid über die Untersuchungseröffnung bzw. die Nichtanhandnahme des Verfahrens nicht. Zur Begründung führte sie zusammenfassend aus, dass ein strafrechtlich relevantes Verhalten der Angezeigten nicht ersichtlich sei.</w:t>
      </w:r>
    </w:p>
    <w:p>
      <w:r>
        <w:rPr>
          <w:b/>
        </w:rPr>
        <w:t>E. 2</w:t>
      </w:r>
    </w:p>
    <w:p>
      <w:r>
        <w:t>A.________ führt mit Eingabe vom 20. August 2019 (Postaufgabe 24. August 2019)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führte aus, weshalb ein Hinweis auf ein strafrechtlich relevantes Verhalten nicht ersichtlich sei. Damit setzt sich der Beschwerdeführer, der keinen zulässigen Beschwerdegrund nennt, überhaupt nicht auseinander. Er vermag folglich nicht ansatzweise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