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1C_427/2016 vom 19. Mai 2017</w:t>
      </w:r>
    </w:p>
    <w:p>
      <w:r>
        <w:t>Bundesgericht, 2017-05-19, FR</w:t>
      </w:r>
    </w:p>
    <w:p>
      <w:r>
        <w:rPr>
          <w:b/>
        </w:rPr>
        <w:t xml:space="preserve">Quelle: </w:t>
      </w:r>
      <w:r>
        <w:t>https://mcp.opencaselaw.ch/entscheid/bger_1C_427_2016</w:t>
      </w:r>
    </w:p>
    <w:p>
      <w:r>
        <w:t>FR: TF 1C_427/2016 du 19 mai 2017</w:t>
      </w:r>
    </w:p>
    <w:p>
      <w:r>
        <w:t>IT: TF 1C_427/2016 del 19 maggio 2017</w:t>
      </w:r>
    </w:p>
    <w:p>
      <w:pPr>
        <w:pStyle w:val="Heading2"/>
      </w:pPr>
      <w:r>
        <w:t>Erwägungen</w:t>
      </w:r>
    </w:p>
    <w:p>
      <w:r>
        <w:rPr>
          <w:b/>
        </w:rPr>
        <w:t>E. 1</w:t>
      </w:r>
    </w:p>
    <w:p>
      <w:r>
        <w:t>Le recours est formé contre une décision finale ( art. 90 LTF ) prise en dernière instance cantonale ( art. 86 al. 1 let . d LTF) dans une cause relevant du droit de la protection de l'environnement ( art. 82 let. a LTF ). Il est en principe recevable comme recours en matière de droit public, aucune des exceptions prévues à l' art. 83 LTF n'étant réalisée.</w:t>
      </w:r>
    </w:p>
    <w:p>
      <w:r>
        <w:t>La recourante, qui a pris part à la procédure devant l'instance cantonale, est particulièrement atteinte par l'arrêt attaqué et dispose d'un intérêt digne de protection à sa modification, celui-ci confirmant la mise à sa charge d'une partie des frais d'investigation et d'assainissement. Elle a ainsi qualité pour recourir au sens de l' art. 89 al. 1 LTF .</w:t>
      </w:r>
    </w:p>
    <w:p>
      <w:r>
        <w:rPr>
          <w:b/>
        </w:rPr>
        <w:t>E. 2</w:t>
      </w:r>
    </w:p>
    <w:p>
      <w:r>
        <w:t>Invoquant son droit d'être entendue - grief d'ordre formel qu'il convient d'examiner en premier -, la recourante estime que la cour cantonale n'aurait nullement expliqué en quoi un taux de participation de 20% se justifierait alors que la jurisprudence du Tribunal fédéral considère un taux de 10% excessif à l'égard d'un perturbateur par situation, en l'absence de circonstances particulières.</w:t>
      </w:r>
    </w:p>
    <w:p>
      <w:r>
        <w:t>La jurisprudence a déduit du droit d'être entendu ( art. 29 al. 2 Cst. ) un devoir minimum pour l'autorité d'examiner et de traiter les questions pertinentes; ce devoir est violé lorsque le juge ne prend pas en considération des allégués, arguments, preuves et offres de preuve présentés par l'une des parties et importants pour la décision à rendre. L'autorité n'est pas tenue de prendre position sur tous les arguments des parties; elle doit statuer sur les griefs soulevés mais, dans ce cadre, elle peut se limiter aux questions décisives. Il suffit en somme que les parties puissent se rendre compte de la portée de la décision prise à leur égard et, le cas échéant, recourir contre elle en connaissance de cause ( ATF 129 I 232 consid. 3.2 p. 236; 126 I 15 consid. 2a/aa p. 17, 97 consid. 2b p. 102; 124 II 146 consid. 2a p. 149 et les arrêts cités).</w:t>
      </w:r>
    </w:p>
    <w:p>
      <w:r>
        <w:t>L'arrêt attaqué rappelle la jurisprudence selon laquelle, en l'absence de circonstances particulières, il est excessif d'exiger une participation de plus de 10% de la part du détenteur du site qui n'a pas causé la pollution ( ATF 139 II 106 ). Peut notamment constituer une telle circonstance le fait que le détenteur retire un avantage économique de la pollution et/ou de l'assainissement. La cour cantonale a ainsi recherché si la recourante avait retiré un tel avantage, consacrant le considérant 4 de son arrêt à cette question. Une telle motivation est suffisante du point de vue formel et la recourante se trouve à même de la contester en toute connaissance de cause. Il n'y a dès lors pas de violation de l'obligation de motiver.</w:t>
      </w:r>
    </w:p>
    <w:p>
      <w:r>
        <w:rPr>
          <w:b/>
        </w:rPr>
        <w:t>E. 3</w:t>
      </w:r>
    </w:p>
    <w:p>
      <w:r>
        <w:t>La collectivité publique compétente prend à sa charge la part de frais due par les personnes à l'origine des mesures, qui ne peuvent être identifiées ou qui sont insolvables.</w:t>
      </w:r>
    </w:p>
    <w:p>
      <w:r>
        <w:rPr>
          <w:b/>
        </w:rPr>
        <w:t>E. 3.1</w:t>
      </w:r>
    </w:p>
    <w:p>
      <w:r>
        <w:t>L' art. 32d LPE a la teneur suivante:</w:t>
      </w:r>
    </w:p>
    <w:p>
      <w:r>
        <w:t>Art. 32d        Prise en charge des frais</w:t>
      </w:r>
    </w:p>
    <w:p>
      <w:r>
        <w:t>1 Celui qui est à l'origine des mesures nécessaires assume les frais d'investigation, de surveillance et d'assainissement du site pollué.</w:t>
      </w:r>
    </w:p>
    <w:p>
      <w:r>
        <w:t>2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w:t>
      </w:r>
    </w:p>
    <w:p>
      <w:r>
        <w:rPr>
          <w:b/>
        </w:rPr>
        <w:t>E. 3.2</w:t>
      </w:r>
    </w:p>
    <w:p>
      <w:r>
        <w:t>L'arrêt attaqué retient que la recourante ne pouvait ignorer l'existence d'une pollution du site; elle connaissait son affectation industrielle durant plusieurs décennies, alors que la problématique des sites pollués était déjà largement connue à l'époque, et était active "dans le cadre industriel et horloger". En outre, les conditions de vente font également mention d'un site pollué. La recourante a expressément renoncé à contester ces considérations de fait, compte tenu du pouvoir d'examen du Tribunal fédéral à ce propos. Elle ne saurait dès lors prétendre avoir ignoré l'existence d'un risque de pollution lors de l'achat de la parcelle. La cour cantonale pouvait dès lors retenir que si la recourante avait acquis la parcelle à un prix inférieur de 65,4% à la valeur vénale, cela était dû, tout au moins dans une certaine mesure, au risque de pollution que pouvait présenter le bien-fonds. La recourante ne conteste d'ailleurs pas que le prix d'achat apparaissait particulièrement avantageux. Un tel avantage ne saurait résulter du seul fait qu'il s'agit d'une acquisition aux enchères publiques dans le cadre d'une réalisation forcée. Il est certes malaisé d'évaluer précisément dans quelle mesure le risque de pollution a pu influer sur le prix. Toutefois, compte tenu d'une part de la différence entre le prix payé et la valeur vénale estimée par l'expert (près de trois fois supérieure), et d'autre part du montant de la participation aux frais (entre 20'000 et 100'000 fr.), la fixation de la participation à 20% ne procède pas d'un abus du pouvoir d'appréciation, ni d'une violation du droit fédéral. Le fait que la recourante a, de son propre chef, consenti à d'importants investissements pour mettre en valeur son bien, ne change rien à l'avantage qu'elle a pu retirer du prix initialement payé pour l'acquisition.</w:t>
      </w:r>
    </w:p>
    <w:p>
      <w:r>
        <w:rPr>
          <w:b/>
        </w:rPr>
        <w:t>E. 4</w:t>
      </w:r>
    </w:p>
    <w:p>
      <w:r>
        <w:t>Sur le vu de ce qui précède, le recours est rejeté.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