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1C_427/2015 vom 10. September 2015</w:t>
      </w:r>
    </w:p>
    <w:p>
      <w:r>
        <w:t>Bundesgericht, 2015-09-10, DE</w:t>
      </w:r>
    </w:p>
    <w:p>
      <w:r>
        <w:rPr>
          <w:b/>
        </w:rPr>
        <w:t xml:space="preserve">Quelle: </w:t>
      </w:r>
      <w:r>
        <w:t>https://mcp.opencaselaw.ch/entscheid/bger_1C_427_2015</w:t>
      </w:r>
    </w:p>
    <w:p>
      <w:r>
        <w:t>FR: TF 1C_427/2015 du 10 septembre 2015</w:t>
      </w:r>
    </w:p>
    <w:p>
      <w:r>
        <w:t>IT: TF 1C_427/2015 del 10 settembre 2015</w:t>
      </w:r>
    </w:p>
    <w:p>
      <w:pPr>
        <w:pStyle w:val="Heading2"/>
      </w:pPr>
      <w:r>
        <w:t>Erwägungen</w:t>
      </w:r>
    </w:p>
    <w:p>
      <w:r>
        <w:rPr>
          <w:b/>
        </w:rPr>
        <w:t>E. 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1.1</w:t>
      </w:r>
    </w:p>
    <w:p>
      <w:r>
        <w:t>Zwar geht es um eine Auslieferung und damit ein Sachgebiet, bei dem die Beschwerde nach Art. 84 Abs. 1 BGG insoweit möglich ist. Entgegen der Auffassung des Beschwerdeführers handelt es sich jedoch um keinen besonders bedeutenden Fall.</w:t>
      </w:r>
    </w:p>
    <w:p>
      <w:r>
        <w:t>Die Vorinstanz hat sich mit seinen Einwänden eingehend auseinandergesetzt. Ihre Erwägungen stützen sich auf die bundesgerichtliche Rechtsprechung und lassen keine Bundesrechtsverletzung erkennen. Das gilt insbesondere, soweit sie zum Schluss kommt, der Beschwerdeführer habe nicht glaubhaft gemacht, dass im ersuchenden Staat objektiv und ernsthaft eine schwerwiegende Verletzung der Menschenrechte erfolgt bzw. zu befürchten sei. Auf die Darlegungen im angefochtenen Entscheid (E. 5. ff. S. 6 ff.) kann gemäss Art. 109 Abs. 3 BGG verwiesen werden. Rechtsfragen von grundsätzlicher Bedeutung stellen sich nicht. Auch sonst wie kommt der Angelegenheit keine aussergewöhnliche Tragweite zu. Für das Bundesgericht besteht deshalb kein Anlass, die Sache an die Hand zu nehmen.</w:t>
      </w:r>
    </w:p>
    <w:p>
      <w:r>
        <w:t>Die Beschwerde ist demnach unzulässig. Die Ansetzung einer Nachfrist zur Ergänzung der Beschwerdebegründung gemäss Art. 43 BGG fällt damit ausser Betracht (lit. a).</w:t>
      </w:r>
    </w:p>
    <w:p>
      <w:r>
        <w:rPr>
          <w:b/>
        </w:rPr>
        <w:t>E. 2</w:t>
      </w:r>
    </w:p>
    <w:p>
      <w:r>
        <w:t>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