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1C_426/2022 vom 5. September 2022</w:t>
      </w:r>
    </w:p>
    <w:p>
      <w:r>
        <w:t>Bundesgericht, 2022-09-05, DE</w:t>
      </w:r>
    </w:p>
    <w:p>
      <w:r>
        <w:rPr>
          <w:b/>
        </w:rPr>
        <w:t xml:space="preserve">Quelle: </w:t>
      </w:r>
      <w:r>
        <w:t>https://mcp.opencaselaw.ch/entscheid/bger_1C_426_2022</w:t>
      </w:r>
    </w:p>
    <w:p>
      <w:r>
        <w:t>FR: TF 1C_426/2022 du 5 septembre 2022</w:t>
      </w:r>
    </w:p>
    <w:p>
      <w:r>
        <w:t>IT: TF 1C_426/2022 del 5 settembre 2022</w:t>
      </w:r>
    </w:p>
    <w:p>
      <w:pPr>
        <w:pStyle w:val="Heading2"/>
      </w:pPr>
      <w:r>
        <w:t>Erwägungen</w:t>
      </w:r>
    </w:p>
    <w:p>
      <w:r>
        <w:rPr>
          <w:b/>
        </w:rPr>
        <w:t>E. 1</w:t>
      </w:r>
    </w:p>
    <w:p>
      <w:r>
        <w:t>Am 24. Mai 2022 ist die Sicherheitsdirektion des Kantons Bern (SID) auf das Revisionsgesuch von A.________ gegen die abschlägige Veteranenbeurteilung seines Fahrzeugs nicht eingetreten (zur Vorgeschichte: Urteil des Bundesgerichts 1C_436/2021 vom 16. November 2021).</w:t>
      </w:r>
    </w:p>
    <w:p>
      <w:r>
        <w:t>Das Verwaltungsgericht des Kantons Bern ist auf die von A.________ dagegen erhobene Beschwerde mit Urteil vom 4. Juli 2022 nicht eingetreten.</w:t>
      </w:r>
    </w:p>
    <w:p>
      <w:r>
        <w:t>Mit Eingabe vom 28. Juli 2022 beantragt A.________, "dass dieser Veteraneneintrag per sofort wieder eingetragen wird!" Zudem verlangt er, dass ihm der "gestellte Rechnungsbetrag von Fr. 5'250.-" ausbezahlt werde.</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SID trat mit ihrem Entscheid vom 24. Mai 2022 auf das Revisionsbegehren nicht ein, weil der Beschwerdeführer keinen Revisionsgrund geltend machte, und das Verwaltungsgericht trat im angefochtenen Entscheid auf seine dagegen erhobene Beschwerde nicht ein mit der Begründung, sie genüge den minimalen gesetzlichen Begründungsanforderungen nicht. Der Beschwerdeführer setzt sich mit dem angefochtenen Entscheid nicht ansatzweise auseinander und legt - was einzig zulässig wäre - nicht dar, inwiefern das Verwaltungsgericht Bundesrecht verletzte, indem es auf die Beschwerde wegen mangelhafter Begründung nicht eintrat.</w:t>
      </w:r>
    </w:p>
    <w:p>
      <w:r>
        <w:t>Auf die Beschwerde ist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