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1C_426/2015 vom 16. September 2015</w:t>
      </w:r>
    </w:p>
    <w:p>
      <w:r>
        <w:t>Bundesgericht, 2015-09-16, IT</w:t>
      </w:r>
    </w:p>
    <w:p>
      <w:r>
        <w:rPr>
          <w:b/>
        </w:rPr>
        <w:t xml:space="preserve">Quelle: </w:t>
      </w:r>
      <w:r>
        <w:t>https://mcp.opencaselaw.ch/entscheid/bger_1C_426_2015</w:t>
      </w:r>
    </w:p>
    <w:p>
      <w:r>
        <w:t>FR: TF 1C_426/2015 du 16 septembre 2015</w:t>
      </w:r>
    </w:p>
    <w:p>
      <w:r>
        <w:t>IT: TF 1C_426/2015 del 16 settembre 2015</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come in concreto, un'estradizione ( DTF 136 IV 20 consid. 1.1 e 1.2) e inoltre se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Conformemente all' art. 42 cpv. 2 LTF , spetta al ricorrente dimostrare che le condizioni di entrata in materia richieste dall' art. 84 LTF sono adempiute ( DTF 139 IV 294 consid. 1.1).</w:t>
      </w:r>
    </w:p>
    <w:p>
      <w:r>
        <w:rPr>
          <w:b/>
        </w:rPr>
        <w:t>E. 1.2</w:t>
      </w:r>
    </w:p>
    <w:p>
      <w:r>
        <w:t>Quest'ultima norma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anche in materia estradizionale, il Tribunale federale dispone di un ampio potere di apprezzamento ( DTF 134 IV 156 consid. 1.3.1 e 1.3.2).</w:t>
      </w:r>
    </w:p>
    <w:p>
      <w:r>
        <w:rPr>
          <w:b/>
        </w:rPr>
        <w:t>E. 2.1</w:t>
      </w:r>
    </w:p>
    <w:p>
      <w:r>
        <w:t>L'atto di ricorso si esaurisce in sostanza, misconoscendo le specificità della procedura estradizionale, nell'affermare che l'esposto dei fatti contenuto nella rogatoria estera sarebbe confuso, che dallo stesso non emergerebbe con sufficiente chiarezza e in maniera dettagliata il coinvolgimento del ricorrente nei reati rimproveratigli, in particolare riguardo alla sua responsabilità penale individuale, che il GIP avrebbe valutato in maniera superficiale il materiale probatorio e, infine, che la decisione impugnata, non esaminando nei dettagli le censure ricorsuali inerenti alla contestata colpevolezza, avrebbe violato il suo diritto di essere sentito. Con questa argomentazione il ricorrente disattende che, come rettamente spiegato dal TPF, non spetta al giudice dell'estradizione pronunciarsi sulla fondatezza delle accuse mossegli, né esaminare la valutazione dei mezzi di prova effettuata dagli inquirenti esteri, da lui contestata. L'istanza precedente non si è quindi scostata dalla costante giurisprudenza, con la quale il ricorrente non si confronta, secondo la quale la procedura di estradizione costituisce solamente una procedura amministrativa, che, contrariamente a quanto parrebbe ritenere il ricorrente, non persegue lo scopo di esaminare la criticata fondatezza delle accuse mosse nei suoi confronti, né di statuire sulla sua colpevolezza penale. Queste critiche potranno essere sollevate, se del caso, dinanzi alle competenti autorità giudiziarie italiane.</w:t>
      </w:r>
    </w:p>
    <w:p>
      <w:r>
        <w:rPr>
          <w:b/>
        </w:rPr>
        <w:t>E. 2.2</w:t>
      </w:r>
    </w:p>
    <w:p>
      <w:r>
        <w:t>Il ricorrente fa poi valere una violazione del diritto di essere sentito, perché il TPF non avrebbe compiutamente vagliato le sue censure, che ridimensionerebbero la gravità delle condotte contestategli. Tuttavia, una siffatta violazione, supposta data, non costituirebbe di per sé, né il ricorrente lo pretende, una grave lacuna ai sensi dell' art. 84 cpv. 2 LTF (cfr. sentenze 1C_110/2015 del 26 febbraio 2015 consid. 2.3, 1C_763/2013 del 27 settembre 2013 consid. 2.2, 1C_323/2013 del 27 marzo 2013 consid. 1.3 e 1C_325/2012 del 28 giugno 2012 consid. 1.2).</w:t>
      </w:r>
    </w:p>
    <w:p>
      <w:r>
        <w:t>Ribadendo che la domanda di estradizione non potrebbe essere accolta, poiché egli disporrebbe asseritamente di un valido passaporto diplomatico, il ricorrente non si confronta poi, se non in materia del tutto generica e quindi lesiva delle esigenze di motivazione dell' art. 42 LTF , con le conclusioni del TPF, per il quale tale assunto non è provato. Al riguardo, le lettere da lui prodotte in questa sede sono nuove e quindi inammissibili, poiché nulla gli impediva di produrle dinanzi all'istanza precedente ( art. 99 cpv. 1 LTF ) : per di più, quella di un consulente è del tutto ininfluente al riguardo. Anche l'accenno di critica alle condizioni carcerarie in Italia è inammissibile per carenza di motivazione, visto che il ricorrente non si confronta con la recente giurisprudenza, rettamente richiamata e applicata dal TPF.</w:t>
      </w:r>
    </w:p>
    <w:p>
      <w:r>
        <w:rPr>
          <w:b/>
        </w:rPr>
        <w:t>E. 3</w:t>
      </w:r>
    </w:p>
    <w:p>
      <w:r>
        <w:t>Non si è pertanto in presenza di un caso particolarmente importante, motivo per cui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