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424/2013 vom 29. November 2013</w:t>
      </w:r>
    </w:p>
    <w:p>
      <w:r>
        <w:t>Bundesgericht, 2013-11-29, FR</w:t>
      </w:r>
    </w:p>
    <w:p>
      <w:r>
        <w:rPr>
          <w:b/>
        </w:rPr>
        <w:t xml:space="preserve">Quelle: </w:t>
      </w:r>
      <w:r>
        <w:t>https://mcp.opencaselaw.ch/entscheid/bger_1C_424_2013</w:t>
      </w:r>
    </w:p>
    <w:p>
      <w:r>
        <w:t>FR: TF 1C 424/2013 du 29 novembre 2013</w:t>
      </w:r>
    </w:p>
    <w:p>
      <w:r>
        <w:t>IT: TF 1C 424/2013 del 29 novembre 2013</w:t>
      </w:r>
    </w:p>
    <w:p>
      <w:pPr>
        <w:pStyle w:val="Heading2"/>
      </w:pPr>
      <w:r>
        <w:t>Regeste</w:t>
      </w:r>
    </w:p>
    <w:p>
      <w:r>
        <w:t>résidences secondaires, art. 75b Cst. | Aménagement du territoire et droit public des constructions</w:t>
      </w:r>
    </w:p>
    <w:p>
      <w:pPr>
        <w:pStyle w:val="Heading2"/>
      </w:pPr>
      <w:r>
        <w:t>Erwägungen</w:t>
      </w:r>
    </w:p>
    <w:p>
      <w:r>
        <w:rPr>
          <w:b/>
        </w:rPr>
        <w:t>E. 1</w:t>
      </w:r>
    </w:p>
    <w:p>
      <w:r>
        <w:t>Les résidences secondaires constituent au maximum 20 % du parc des logements et de la surface brute au sol habitable de chaque commune.</w:t>
      </w:r>
    </w:p>
    <w:p>
      <w:r>
        <w:rPr>
          <w:b/>
        </w:rPr>
        <w:t>E. 2</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de l'accomplissement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(même arrêt, consid. 11.2).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 Le Tribunal fédéral a par ailleurs admis dans un deuxième arrêt de principe que l' art. 75b Cst. (en relation avec l' art. 197 ch. 9 al. 2 Cst. ) est directement applicable dès son entrée en vigueur le 11 mars 2012 ( ATF 139 II 243 ). En effet, l' art. 197 ch. 9 al. 2 Cst. ne précisant pas quelles communes sont visées, il ne peut être lu qu'à la lumière de l' art. 75b Cst. Dans la mesure où la disposition transitoire prévoit la nullité des permis de construire délivrés entre le 1er janvier 2013 et la date d'entrée en vigueur de la législation d'exécution, il apparaît que ces deux dispositions sont d'applicabilité directe (consid. 9.1). Le titre de l'initiative, le message du Conseil fédéral et les explications fournies avec le matériel de vote confirment cette interprétation, les discussions ayant toujours mis en avant le moratoire brutal que l'acceptation de l'initiative impliquerait (consid. 9.2). S'agissant de la période ayant couru entre l'acceptation de l'initiative populaire le 11 mars 2012 et le 1er janvier 2013, il apparaît que les champs d'application matériel et spatial de l' art. 75b Cst. sont suffisamment définis: dans la plupart des cas, la notion de résidence secondaire, qui est utilisée dans d'autres dispositions légales, ne prête pas à confusion et, en cas de doute, il y a lieu de lui donner une interprétation large, la restriction à la garantie de la propriété n'étant que temporaire (le législateur ayant pour mandat de légiférer d'ici au 11 mars 2014); s'agissant des communes visées, le registre fédéral des bâtiments et des logements et le recensement fédéral de 2000 permettent de les déterminer, à tout le moins provisoirement (consid. 10). Selon les principes généraux du droit, la disposition constitutionnelle est applicable à toutes les autorisations de construire délivrées après son entrée en vigueur et les décisions non conformes à cette disposition sont annulables. Si, dès le 1er janvier 2013, l' art. 197 ch. 9 al. 2 Cst. aggrave l'effet juridique de la non-conformité au droit par la nullité, avant cette date, la sanction des autorisations de construire inconstitutionnelles demeure l'annulabilité (consid. 11.1-11.3). Cette solution, qui correspond aux sens et but de l' art. 75b Cst. , est corroborée par les déclarations des autorités fédérales et des opposants avant la votation (consid. 11.4-11.5). Enfin, dans un troisième arrêt rendu le 22 mai 2013 ( ATF 139 II 263 ), le Tribunal fédéral a jugé que la date déterminante pour l'application de l' art. 75b Cst. était celle de la délivrance du permis de construire. L'autorité appliquant le droit en vigueur au jour où elle statue, la nouvelle disposition est en principe contraignante pour toute autorisation délivrée après le 11 mars 2012, quelle que soit la date à laquelle la demande a été déposée. Alors qu'un permis délivré après le 1er janvier 2013 est nul en vertu de l' art. 197 ch. 9 al. 2 Cst. , un permis délivré avant cette date mais après le 11 mars 2012 est annulable. Il y a bien évidemment lieu de réserver les cas de figure particuliers de la protection de la confiance ou du déni de justice (consid. 7). Toutefois, dans la mesure où la demande de permis a été déposée quelques mois seulement avant la date de la votation, les requérants devaient compter avec le risque que la disposition constitutionnelle soit adoptée et devienne dès lors applicable à leur projet de construction (consid. 8). Dans les communes où le taux de 20 % de résidences secondaires est déjà atteint, les permis de construire les concernant, délivrés entre le 11 mars 2012 et le 31 décembre 2012, sont ainsi annulables.</w:t>
      </w:r>
    </w:p>
    <w:p>
      <w:r>
        <w:rPr>
          <w:b/>
        </w:rPr>
        <w:t>E. 3</w:t>
      </w:r>
    </w:p>
    <w:p>
      <w:r>
        <w:t>En l'espèce, le permis de construire a été délivré le 18 décembre 2012, soit après l'entrée en vigueur des art. 75b et 197 ch. 9 Cst. Il n'est pas contesté que la construction projetée allait être affectée à de la résidence secondaire ni que le parc des logements de la commune d'Ollon comporte plus de 20 % de résidences secondaires. Le permis de construire contrevient ainsi à l' art. 75b Cst. et doit dès lors être annulé et la demande d'autorisation de construire définitivement rejetée, conformément aux principes rappelés ci-dessus.</w:t>
      </w:r>
    </w:p>
    <w:p>
      <w:r>
        <w:rPr>
          <w:b/>
        </w:rPr>
        <w:t>E. 4</w:t>
      </w:r>
    </w:p>
    <w:p>
      <w:r>
        <w:t>Vu l'issue de la cause, les frais judiciaires sont mis à la charge de l'intimée, qui succombe ( art. 66 al. 1 LTF ). Il y a lieu également, conformément aux art. 67 et 68 al. 5 LTF , de fixer les frais et dépens pour la procédure devant le Tribunal cantonal. La constructrice n'a certes pas été invitée à procéder devant cette instance mais, compte tenu de ce qui précède, la cour cantonale aurait dû statuer en sa défaveur, ce qui justifie la mise à sa charge des frais de justice, ainsi que des dépens accordés à la recourante. S'agissant de la procédure devant le Tribunal fédéral, la recourante, non représentée, n'a pas droit à des dépens. Enfin, la cause doit être renvoyée à la commune d'Ollon, pour qu'elle statue sur les frais de la procédure communale d'autorisation de construire et d'opposition.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