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1C_424/2010 vom 4. November 2010</w:t>
      </w:r>
    </w:p>
    <w:p>
      <w:r>
        <w:t>Bundesgericht, 2010-11-04, DE</w:t>
      </w:r>
    </w:p>
    <w:p>
      <w:r>
        <w:rPr>
          <w:b/>
        </w:rPr>
        <w:t xml:space="preserve">Quelle: </w:t>
      </w:r>
      <w:r>
        <w:t>https://mcp.opencaselaw.ch/entscheid/bger_1C_424_2010</w:t>
      </w:r>
    </w:p>
    <w:p>
      <w:r>
        <w:t>FR: TF 1C_424/2010 du 4 novembre 2010</w:t>
      </w:r>
    </w:p>
    <w:p>
      <w:r>
        <w:t>IT: TF 1C_424/2010 del 4 novembre 2010</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Wie sich aus dem Wort "insbesondere" ergibt, umschreibt Art. 84 Abs. 2 BGG den besonders bedeutenden Fall nicht abschliessend. Ein solcher Fall kann nach der Rechtsprechung auch angenommen werden, wenn sich eine rechtliche Grundsatzfrage stellt ( BGE 136 IV 20 E. 1.2 S. 22 mit Hinweisen).</w:t>
      </w:r>
    </w:p>
    <w:p>
      <w:r>
        <w:t>Erachtet das Bundesgericht eine Beschwerde auf dem Gebiet der internationalen Rechtshilfe in Strafsachen als unzulässig, so fällt es gemäss Art. 107 Abs. 3 BGG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Im vorliegenden Fall geht es um die Übermittlung von Informationen aus dem Geheimbereich und damit um ein Sachgebiet, bei dem die Beschwerde nach Art. 84 Abs. 1 BGG insoweit zulässig ist. Es stellt sich die Frage, wieweit ein besonders bedeutender Fall gegeben sei.</w:t>
      </w:r>
    </w:p>
    <w:p>
      <w:r>
        <w:t>Der Beschwerdeführer 2 wurde durch keine Rechtshilfemassnahme unmittelbar betroffen. Dass er in den herauszugebenden Dokumenten erwähnt wird, genügt für die Annahme der unmittelbaren Betroffenheit nicht. Soweit die Vorinstanz die Beschwerdebefugnis des Beschwerdeführers 2 verneint hat, stützt sich ihr Entscheid - auf dessen Erwägungen verwiesen werden kann - auf die bundesgerichtliche Rechtsprechung. Darauf zurückzukommen besteht kein Anlass. In Bezug auf die Beschwerde des Beschwerdeführers 2 kann deshalb kein besonders bedeutender Fall nach Art. 84 BGG angenommen werden und ist die Beschwerde damit unzulässig.</w:t>
      </w:r>
    </w:p>
    <w:p>
      <w:r>
        <w:t>Anders verhält es sich in Bezug auf die Beschwerde der Beschwerdeführerin 1. Insoweit stellen sich, wie das Bundesamt in der Vernehmlassung (S. 2 ff. Ziff. 1.2) zutreffend darlegt, rechtliche Grundsatzfragen, die einer vertieften Prüfung durch das Bundesgericht bedürfen. Insoweit ist daher ein besonders bedeutender Fall zu bejahen, weshalb die Sache im ordentlichen Verfahren zu behandeln ist.</w:t>
      </w:r>
    </w:p>
    <w:p>
      <w:r>
        <w:t>Da gemäss Art. 107 Abs. 3 BGG das Bundesgericht bei Unzulässigkeit der Beschwerde den Nichteintretensentscheid innert 15 Tagen nach Abschluss des Schriftwechsels zu treffen hat, ist hier in Bezug auf den Beschwerdeführer 2 ein Teilurteil zu fällen. Über die Beschwerde der Beschwerdeführerin 1 wird - nach einlässlicher Prüfung der sich stellenden Rechtsfragen - später befunden.</w:t>
      </w:r>
    </w:p>
    <w:p>
      <w:r>
        <w:rPr>
          <w:b/>
        </w:rPr>
        <w:t>E. 2</w:t>
      </w:r>
    </w:p>
    <w:p>
      <w:r>
        <w:t>Auf die Beschwerde des Beschwerdeführers 2 wird nach dem Gesagten nicht eingetreten.</w:t>
      </w:r>
    </w:p>
    <w:p>
      <w:r>
        <w:t>Damit trägt 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