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1C_423/2020 vom 5. August 2020</w:t>
      </w:r>
    </w:p>
    <w:p>
      <w:r>
        <w:t>Bundesgericht, 2020-08-05, DE</w:t>
      </w:r>
    </w:p>
    <w:p>
      <w:r>
        <w:rPr>
          <w:b/>
        </w:rPr>
        <w:t xml:space="preserve">Quelle: </w:t>
      </w:r>
      <w:r>
        <w:t>https://mcp.opencaselaw.ch/entscheid/bger_1C_423_2020</w:t>
      </w:r>
    </w:p>
    <w:p>
      <w:r>
        <w:t>FR: TF 1C_423/2020 du 5 août 2020</w:t>
      </w:r>
    </w:p>
    <w:p>
      <w:r>
        <w:t>IT: TF 1C_423/2020 del 5 agosto 2020</w:t>
      </w:r>
    </w:p>
    <w:p>
      <w:pPr>
        <w:pStyle w:val="Heading2"/>
      </w:pPr>
      <w:r>
        <w:t>Erwägungen</w:t>
      </w:r>
    </w:p>
    <w:p>
      <w:r>
        <w:rPr>
          <w:b/>
        </w:rPr>
        <w:t>E. 1.1</w:t>
      </w:r>
    </w:p>
    <w:p>
      <w:r>
        <w:t>Angefochten ist ein Entscheid auf dem Gebiet der internationalen Rechtshilfe in Strafsachen. Dagegen ist die Beschwerde in öffentlich-rechtlichen Angelegenheiten das zutreffende Rechtsmittel. Der angefochtene Entscheid schliesst für die Beschwerdeführerinnen das Verfahren ab und stellt insofern einen Endentscheid dar ( Art. 90 BGG ).</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S. 107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die Übermittlung von Informationen aus dem Geheimbereich und damit um ein Sachgebiet, bei dem die Beschwerde nach Art. 84 Abs. 1 BGG insoweit möglich ist. Es handelt sich jedoch um keinen besonders bedeutenden Fall.</w:t>
      </w:r>
    </w:p>
    <w:p>
      <w:r>
        <w:t>Die Beschwerdeführerinnen rügen eine Verletzung von Art. 80h IRSG (SR 351.1). Sie bringen vor, dass sie aufgrund der konkreten technischen Einrichtung exklusiven Zugriff auf die auf den Servern gespeicherten Daten gehabt hätten und dieser Zugriff unabhängig vom unmittelbaren Besitz an den Servern gewesen sei.</w:t>
      </w:r>
    </w:p>
    <w:p>
      <w:r>
        <w:t>An die in Art. 80h IRSG und Art. 9a IRSV (SR 351.11) normierte Beschwerdebefugnis bei Angelegenheiten der internationalen Rechtshilfe in Strafsachen ist ein restriktiver Massstab anzulegen ( BGE 137 IV 134 E. 6.4 S. 141 mit Hinweisen). Die Rechtsprechung hält sich an möglichst einfache und klare Regeln, damit die zuständige Behörde das Rechtshilfeersuchen beförderlich erledigen kann (s. Art. 17a IRSG ; Urteil 1C_460/2019 vom 17. September 2019 E. 2.1). Entscheidend ist bei einer Beschlagnahme, wer in deren Zeitpunkt die tatsächliche Verfügungsgewalt besitzt (a.a.O.). Wie das Bundesstrafgericht zu Recht ausgeführt hat, ist insofern bei Daten auf den unmittelbaren Besitz am Datenträger abzustellen. Dies muss auch dann gelten, wenn Dritte einen Fernzugriff auf die Daten haben. Stattdessen der Rechtsauffassung der Beschwerdeführerinnen zu folgen, würde zum einen bedeuten, das Beschwerderecht im Einzelfall auf einen potenziell grossen Personenkreis auszudehnen. Die Beschwerdeführerinnen verkennen zum andern, dass ihr Datenzugriff gerade nicht unabhängig vom unmittelbaren Besitz an den Servern war, was ihnen spätestens im Zeitpunkt, als die Verbindung getrennt wurde, bewusst geworden sein musste.</w:t>
      </w:r>
    </w:p>
    <w:p>
      <w:r>
        <w:t>Das Bundesstrafgericht hat die bundesgerichtliche Praxis zur Beschwerdelegitimation korrekt dargelegt. Sein Entscheid, auf den im Übrigen verwiesen werden kann, überzeugt in jeder Hinsicht. Rechtsfragen von grundsätzlicher Bedeutung stellen sich nicht. Auch sonst kommt dem Fall keine aussergewöhnliche Tragweite zu.</w:t>
      </w:r>
    </w:p>
    <w:p>
      <w:r>
        <w:rPr>
          <w:b/>
        </w:rPr>
        <w:t>E. 2</w:t>
      </w:r>
    </w:p>
    <w:p>
      <w:r>
        <w:t>Auf die Beschwerde ist nicht einzutreten.</w:t>
      </w:r>
    </w:p>
    <w:p>
      <w:r>
        <w:t>Bei diesem Ausgang des Verfahrens tragen die Beschwerdeführerinnen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