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1C_423/2018 vom 30. Juni 2023</w:t>
      </w:r>
    </w:p>
    <w:p>
      <w:r>
        <w:t>Bundesgericht, 2023-06-30, FR</w:t>
      </w:r>
    </w:p>
    <w:p>
      <w:r>
        <w:rPr>
          <w:b/>
        </w:rPr>
        <w:t xml:space="preserve">Quelle: </w:t>
      </w:r>
      <w:r>
        <w:t>https://mcp.opencaselaw.ch/entscheid/bger_1C_423_2018</w:t>
      </w:r>
    </w:p>
    <w:p>
      <w:r>
        <w:t>FR: TF 1C_423/2018 du 30 juin 2023</w:t>
      </w:r>
    </w:p>
    <w:p>
      <w:r>
        <w:t>IT: TF 1C_423/2018 del 30 giugno 2023</w:t>
      </w:r>
    </w:p>
    <w:p>
      <w:pPr>
        <w:pStyle w:val="Heading2"/>
      </w:pPr>
      <w:r>
        <w:t>Erwägungen</w:t>
      </w:r>
    </w:p>
    <w:p>
      <w:r>
        <w:rPr>
          <w:b/>
        </w:rPr>
        <w:t>E. 1</w:t>
      </w:r>
    </w:p>
    <w:p>
      <w:r>
        <w:t>Le Tribunal fédéral examine d'office et librement la recevabilité des recours dont il est saisi ( art. 29 al. 1 LTF ).</w:t>
      </w:r>
    </w:p>
    <w:p>
      <w:r>
        <w:rPr>
          <w:b/>
        </w:rPr>
        <w:t>E. 1.1</w:t>
      </w:r>
    </w:p>
    <w:p>
      <w:r>
        <w:t>Dirigé contre une décision finale prise en dernière instance cantonale dans le domaine du droit public des constructions et de l'aménagement du territoire, le recours est recevable comme recours en matière de droit public conformément aux art. 82 ss LTF , aucune des exceptions prévues à l' art. 83 LTF n'étant réalisée.</w:t>
      </w:r>
    </w:p>
    <w:p>
      <w:r>
        <w:t>La qualité pour recourir de la Commune d'Avusy résulte de l' art. 89 al. 2 let . d LTF en relation avec l' art. 34 al. 2 let . c LAT. En effet, selon l' art. 89 al. 2 let . d LTF, ont qualité pour recourir les personnes, organisations et autorités auxquelles une autre loi fédérale accorde un droit de recours. Tel est le cas de l' art. 34 al. 2 let . c LAT qui permet aux cantons et aux communes de recourir à l'encontre des autorisations visées aux art. 24 à 24d LAT, à savoir pour des constructions sises, comme en l'espèce, hors zone à bâtir.</w:t>
      </w:r>
    </w:p>
    <w:p>
      <w:r>
        <w:t>La recevabilité du recours en matière de droit public est encore subordonnée à la démonstration d'un intérêt actuel et pratique à l'annulation de la décision attaquée ( art. 89 al. 1 LTF ; ATF 142 I 135 consid. 1.3.1). L'intérêt actuel est déterminé en fonction du but poursuivi par le recours, des conséquences et de la portée d'une éventuelle admission de celui-ci (cf. ATF 131 I 153 consid. 1.2; 118 Ia 488 consid. 2a). Il fait défaut en particulier lorsque la décision attaquée a été exécutée ou est devenue sans objet ( ATF 125 II 86 consid. 5b) ou encore lorsque l'admission du recours ne permettrait pas la réparation du préjudice subi ( ATF 127 III 41 consid. 2b; arrêt 1C_495/2021 du 5 septembre 2022 consid. 1.2 et les arrêts cités).</w:t>
      </w:r>
    </w:p>
    <w:p>
      <w:r>
        <w:t>Cet intérêt doit exister non seulement au moment du dépôt du recours, mais encore au moment où l'arrêt est rendu. Si l'intérêt actuel disparaît en cours de procédure, le recours devient sans objet, alors qu'il est irrecevable si l'intérêt actuel faisait déjà défaut au moment du dépôt du recours ( ATF 142 I 135 consid. 1.3.1 et la jurisprudence citée). De cette manière, les tribunaux sont assurés de trancher uniquement des questions concrètes et non de prendre des décisions à caractère théorique, ce qui répond à un souci d'économie de procédure ( ATF 140 IV 74 consid. 1.3.1). Ainsi, une partie qui n'est pas concrètement lésée par la décision ne possède pas la qualité pour recourir.</w:t>
      </w:r>
    </w:p>
    <w:p>
      <w:r>
        <w:t>La jurisprudence consent une exception à l'exigence de l'intérêt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147 I 478 consid. 2.2; 146 II 335 consid. 1.3).</w:t>
      </w:r>
    </w:p>
    <w:p>
      <w:r>
        <w:rPr>
          <w:b/>
        </w:rPr>
        <w:t>E. 1.2</w:t>
      </w:r>
    </w:p>
    <w:p>
      <w:r>
        <w:t>En l'espèce, l'objet du litige est la décision du Département du 4 juin 2015 dans laquelle il refuse de suspendre les activités de A.________ SA et d'ordonner la remise en état des lieux. Or la décision du Département du 1</w:t>
      </w:r>
    </w:p>
    <w:p>
      <w:r>
        <w:t>er octobre 2021 dans laquelle il ordonne la cessation des activités de A.________ SA et la remise en état des lieux porte sur le même objet que la décision du 4 juin 2015 et la remplace implicitement. Bien que la décision du 1</w:t>
      </w:r>
    </w:p>
    <w:p>
      <w:r>
        <w:t>er octobre 2021 ordonne la remise en état du site ainsi que la cessation des activités de A.________ SA selon un planning allant du 31 décembre 2021 au 31 décembre 2026, la commune n'a pas déposé de recours à son encontre.</w:t>
      </w:r>
    </w:p>
    <w:p>
      <w:r>
        <w:t>Par ailleurs, le jugement du TAPI du 22 février 2023 qui a ordonné la cessation des activités de A.________ SA et la remise en état du site en reportant les échéances de deux ans remplace implicitement le jugement du TAPI du 26 mai 2016 qui a admis le recours contre la décision du 4 juin 2015 et a ordonné une cessation immédiate des activités de la A.________ SA.</w:t>
      </w:r>
    </w:p>
    <w:p>
      <w:r>
        <w:t>Etant intervenue dans la procédure devant le TAPI, la commune n'a pas non plus recouru contre le jugement du TAPI du 22 février 2023 qui a confirmé la décision du 1er octobre 2021 s'agissant de la cessation des activités et de la remise en état mais qui a admis partiellement le recours déposé par A.________ SA s'agissant des échéances fixées et les a reportées de deux ans.</w:t>
      </w:r>
    </w:p>
    <w:p>
      <w:r>
        <w:t>Dans ces circonstances, la commune ne peut plus se prévaloir du fait que les objets ne sont pas identiques car le jugement du TAPI du 26 mai 2016 avait ordonné une cessation immédiate des activités de la A.________ SA, sous la menace de la peine prévue à l' art. 292 CP : la commune aurait dû recourir contre la décision du 1er octobre 2021 pour demander une cessation immédiate des activités sous la peine menace de l' art. 292 CP ou du moins contre le jugement du TAPI du 22 février 2023.</w:t>
      </w:r>
    </w:p>
    <w:p>
      <w:r>
        <w:rPr>
          <w:b/>
        </w:rPr>
        <w:t>E. 2</w:t>
      </w:r>
    </w:p>
    <w:p>
      <w:r>
        <w:t>Dans ces conditions, le recours 1C_423/2018 qui a pour origine la contestation de la décision du 4 juin 2015 a perdu son objet. La cause doit être radiée du rôle.</w:t>
      </w:r>
    </w:p>
    <w:p>
      <w:r>
        <w:rPr>
          <w:b/>
        </w:rPr>
        <w:t>E. 2.1</w:t>
      </w:r>
    </w:p>
    <w:p>
      <w:r>
        <w:t>Dans un tel cas, il doit en principe être statué par une décision sommairement motivée sur les frais du procès devenu sans objet, en tenant compte de l'état de choses existant avant le fait qui met fin au litige ( art. 72 PCF , par renvoi de l' art. 71 LTF ) ainsi que de l'issue probable de celui-ci ( ATF 125 V 373 consid. 2a).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arrêt 2C_45/2009 du 26 mai 2009 consid. 3.1).</w:t>
      </w:r>
    </w:p>
    <w:p>
      <w:r>
        <w:rPr>
          <w:b/>
        </w:rPr>
        <w:t>E. 2.2</w:t>
      </w:r>
    </w:p>
    <w:p>
      <w:r>
        <w:t>En l'espèce, dans l'arrêt attaqué, la Cour de justice a annulé le jugement du TAPI du 26 mai 2016 et a rétabli la décision du Département du 4 juin 2015. Elle a considéré en substance que l'intérêt public au rétablissement d'une situation conforme au droit devait céder le pas devant l'intérêt privé de l'intimée au maintien de l'exploitation litigieuse ainsi que, surtout, l'intérêt public que le projet de loi PL 11'976 puisse être mené à terme.</w:t>
      </w:r>
    </w:p>
    <w:p>
      <w:r>
        <w:t>Au terme d'un examen sommaire de la cause avant le fait qui met fin au litige, il apparaît que l'intérêt privé de l'intimée aurait difficilement pu primer sur l'intérêt public à la séparation entre le bâti et le non-bâti et sur l'intérêt de la commune à faire cesser une exploitation illicite sur son territoire, ce d'autant plus que ce point de vue avait déjà été confirmé notamment par l'arrêt du Tribunal fédéral 1A.242/1997 du 13 février 1998. S'ajoute à cela le respect de la volonté populaire depuis que la loi n° 11'976 a été rejetée lors de la votation populaire du 29 novembre 2020.</w:t>
      </w:r>
    </w:p>
    <w:p>
      <w:r>
        <w:t>Il convient par conséquent de mettre les frais de la procédure à la charge de l'intimée ( art. 66 al. 1 LTF ). La commune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