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1C_423/2017 vom 30. Oktober 2017</w:t>
      </w:r>
    </w:p>
    <w:p>
      <w:r>
        <w:t>Bundesgericht, 2017-10-30, FR</w:t>
      </w:r>
    </w:p>
    <w:p>
      <w:r>
        <w:rPr>
          <w:b/>
        </w:rPr>
        <w:t xml:space="preserve">Quelle: </w:t>
      </w:r>
      <w:r>
        <w:t>https://mcp.opencaselaw.ch/entscheid/bger_1C_423_2017</w:t>
      </w:r>
    </w:p>
    <w:p>
      <w:r>
        <w:t>FR: TF 1C_423/2017 du 30 octobre 2017</w:t>
      </w:r>
    </w:p>
    <w:p>
      <w:r>
        <w:t>IT: TF 1C_423/2017 del 30 ottobre 2017</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w:t>
      </w:r>
    </w:p>
    <w:p>
      <w:r>
        <w:t>En l'occurrence, la transmission litigieuse porte sur des documents d'identité et les données d'un téléphone portable. Il s'agit de renseignements concernant le domaine secret, de sorte que la première condition posée à l' art. 84 al. 1 LTF est réalisée.</w:t>
      </w:r>
    </w:p>
    <w:p>
      <w:r>
        <w:rPr>
          <w:b/>
        </w:rPr>
        <w:t>E. 1.2</w:t>
      </w:r>
    </w:p>
    <w:p>
      <w:r>
        <w:t>S'agissant de l'importance particulière du cas, la recourante se plaint d'une violation du droit à un tribunal indépendant et impartial, en relevant que la Cour des plaintes, dans la même composition, avait déjà rejeté l'objection de délit politique dans l'arrêt relatif à son extradition. Le grief est manifestement mal fondé: l'exigence d'impartialité n'empêche pas un magistrat de statuer successivement, dans des procédures distinctes - en l'occurrence d'extradition et d'entraide judiciaire - sur la même question juridique, le cas échéant en défaveur d'une même partie ( ATF 129 III 445 consid. 4.2.2.2 p. 466; 114 Ia 278 consid. 1 p. 279; arrêts 6B_621/2011 du 19 décembre 2011 consid. 2.3.2; 4A_151/2012 du 4 juin 2012 consid. 2.2). Le simple fait qu'une même question se pose dans un nouveau recours ne suffit donc pas à justifier une récusation.</w:t>
      </w:r>
    </w:p>
    <w:p>
      <w:r>
        <w:rPr>
          <w:b/>
        </w:rPr>
        <w:t>E. 1.3</w:t>
      </w:r>
    </w:p>
    <w:p>
      <w:r>
        <w:t>La recourante reproche également à la Cour des plaintes de ne pas avoir sérieusement examiné l'objection tirée du délit politique, en se référant simplement à son précédent arrêt sur l'extradition et sans tenir compte des dispositions de la Convention européenne pour la répression du terrorisme (CERT, RS 0. 353.3) qui impose de tenir compte des actes concrètement reprochés à l'intéressé. En l'occurrence, il est reproché à la recourante d'avoir possédé de faux documents fabriqués par l'ETA. Aucun acte de violence ne lui serait reproché.</w:t>
      </w:r>
    </w:p>
    <w:p>
      <w:r>
        <w:t>Point n'est besoin de s'interroger sur l'existence d'une question de principe à ce propos. En effet, supposé recevable sur ce point, le grief devrait de toute manière être écarté.</w:t>
      </w:r>
    </w:p>
    <w:p>
      <w:r>
        <w:rPr>
          <w:b/>
        </w:rPr>
        <w:t>E. 1.3.1</w:t>
      </w:r>
    </w:p>
    <w:p>
      <w:r>
        <w:t>Est un délit politique au sens de l' art. 3 al. 1 EIMP l'acte dirigé exclusivement contre l'organisation de l'Etat; il s'agit typiquement des actes tendant au renversement de l'Etat. Constitue un délit politique relatif l'infraction de droit commun qui revêt néanmoins un caractère politique prépondérant: il doit avoir été commis dans le cadre d'une lutte pour ou contre le pouvoir. Enfin, par fait connexe à une infraction politique, on entend l'acte punissable selon le droit commun, mais qui bénéficie aussi d'une certaine immunité parce qu'il a été accompli parallèlement à un délit politique, généralement pour préparer, faciliter, assurer ou masquer la commission de celui-ci, voire en procurer ultérieurement l'immunité ( ATF 130 II 337 consid. 3.2 et les arrêts cités). Les infractions violentes, tels les homicides, ne sauraient en principe être considérées comme des délits politiques ( ATF 133 IV 76 consid. 3.8 p. 84). Il en va de même des actes "particulièrement répréhensibles" au sens de l' art. 3 al. 2 EIMP , tels les actes terroristes ou les violations du droit international humanitaire. Les art. 1 et 2 CERT énumèrent une série d'infractions pour lesquelles l'objection de délit politique ne peut être admise. Il s'agit notamment des actes de violence qui, tout en n'étant pas énumérés à l'art. 1 de la convention, visent la vie, l'intégrité ou la liberté des personnes ou causent un danger collectif (art. 2 par. e et 2 CERT). La complicité et la tentative sont également visées ( art. 2 par. 3 CERT ). La convention réduit ainsi la possibilité de se prévaloir de l'exception de délit politique et tend ainsi à "dépolitiser" l'extradition ( ATF 142 IV 175 consid. 4.4-4.5 p. 180). On ne saurait toutefois soutenir, comme le fait la recourante, que les dispositions précitées ne s'appliquent qu'aux personnes ayant directement participé aux actes de violence qui sont reprochés à l'organisation. Il suffit en effet que la personne extradée ait fait partie de l'organisation en question ou l'ait soutenue d'une quelconque manière ( ATF 142 IV 175 consid. 4.10.2 p. 87).</w:t>
      </w:r>
    </w:p>
    <w:p>
      <w:r>
        <w:rPr>
          <w:b/>
        </w:rPr>
        <w:t>E. 1.3.2</w:t>
      </w:r>
    </w:p>
    <w:p>
      <w:r>
        <w:t>En l'occurrence, la recourante a été condamnée en première instance en Espagne pour avoir fait partie de l'ETA. Cette dernière est reconnue comme organisation criminelle, au même titre, par exemple, que les bridages rouges en Italie (arrêt 1A.174/2002 du 21 octobre 2002 consid. 4.3). Jusqu'en 2009, elle figurait sur la liste des organisations considérées comme terroristes du Conseil de l'Union européenne. L'ETA avait en effet commis de nombreux attentats ayant causé la mort de plus de 800 personnes, parmi lesquelles des enfants. En seconde instance, la recourante a été acquittée de l'accusation de participation à une entreprise terroriste, seule la collaboration étant retenue; la recourante avait accepté de collaborer avec l'ETA en fonctionnant comme intermédiaire et en créant l'infrastructure nécessaire à l'organisation dans plusieurs villes européennes. Elle avait participé à des rencontres, transporté du matériel qualifié d'"important" et procédé à des réservations de véhicules et d'hébergement afin de garantir l'anonymat des membres de l'organisation. La possession de faux documents s'inscrit manifestement dans cette collaboration. Dès lors, même si la recourante n'a pas elle-même pris part à des actes de violence, sa collaboration active et délibérée à une organisation connue pour s'être livrée régulièrement à des actes de violence, en particulier des attentats, permettait d'exclure l'objection de délit politique.</w:t>
      </w:r>
    </w:p>
    <w:p>
      <w:r>
        <w:rPr>
          <w:b/>
        </w:rPr>
        <w:t>E. 2</w:t>
      </w:r>
    </w:p>
    <w:p>
      <w:r>
        <w:t>Dans la mesure où il est recevable, le recours doit être rejeté. La recourante a demandé l'assistance judiciaire et celle-ci peut lui être accordée. Me Olivier Peter est désigné comme avocat d'office,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