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422/2017 vom 5. März 2018</w:t>
      </w:r>
    </w:p>
    <w:p>
      <w:r>
        <w:t>Bundesgericht, 2018-03-05, FR</w:t>
      </w:r>
    </w:p>
    <w:p>
      <w:r>
        <w:rPr>
          <w:b/>
        </w:rPr>
        <w:t xml:space="preserve">Quelle: </w:t>
      </w:r>
      <w:r>
        <w:t>https://mcp.opencaselaw.ch/entscheid/bger_1C_422_2017</w:t>
      </w:r>
    </w:p>
    <w:p>
      <w:r>
        <w:t>FR: TF 1C 422/2017 du 5 mars 2018</w:t>
      </w:r>
    </w:p>
    <w:p>
      <w:r>
        <w:t>IT: TF 1C 422/2017 del 5 marzo 2018</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 jugement pris en dernière instance cantonale ( art. 86 al. 1 let . d LTF) dans le domaine du droit public des constructions ( art. 82 let. a LTF ), le recours est en principe recevable comme recours en matière de droit public conformément aux art. 82 ss LTF , aucune des exceptions prévues à l' art. 83 LTF n'étant réalisée. Vu l'irrecevabilité du recours, la question de savoir si la recourante pouvait valablement se substituer, en cours de procédure, à l'hoirie de feu D.________ peut rester indécise.</w:t>
      </w:r>
    </w:p>
    <w:p>
      <w:r>
        <w:rPr>
          <w:b/>
        </w:rPr>
        <w:t>E. 2</w:t>
      </w:r>
    </w:p>
    <w:p>
      <w:r>
        <w:t>La recourante soutient que le projet autorisé a une hauteur et une longueur qui dépassent le maximum autorisé pour la zone concernée.</w:t>
      </w:r>
    </w:p>
    <w:p>
      <w:r>
        <w:rPr>
          <w:b/>
        </w:rPr>
        <w:t>E. 2.1</w:t>
      </w:r>
    </w:p>
    <w:p>
      <w:r>
        <w:t>La cour cantonale a d'abord retenu que le toit du corps sud du projet est à deux pans, ce qui ressort d'ailleurs des plans produits. Dès lors, le Conseil d'Etat ne pouvait pas appliquer la méthode prévue par le règlement en matière de toit à quatre pans pour le calcul de la hauteur du bâtiment au faîte. Les juges cantonaux ont ensuite constaté que la hauteur du corps du bâtiment sud ne dépasse le maximum réglementaire de 9 mètres prévu en zone T3 que si l'on y ajoute la hauteur de l'avancée servant à la piscine; selon ces magistrats, la hauteur de ce dernier élément de construction doit cependant être mesurée conformément à l'art. 11 al. 2 LC et ne dépasse ainsi pas non plus 9 mètres de hauteur. S'agissant des dimensions du bâtiment, la cour cantonale s'est fondée sur les constatations du Conseil d'Etat, à savoir que la construction avait la forme d'un rectangle de 20 mètres sur 14 mètres. Elle a ensuite retenu que l'annexe à l'art. 97 du règlement communal de construction adopté par le conseil général de Bagnes le 23 octobre 2000 (RCC) autorisait la construction d'un tel bâtiment rectangulaire ayant un côté long de 20 mètres. Elle a en effet exposé que le texte de cette annexe était clair et autorisait une profondeur maximale de 20 mètres. La cour cantonale a encore abordé la question de savoir si l'avancée du chalet comprenant la piscine devait être intégrée au calcul du maximum de 20 mètres. Sur ce point, les juges cantonaux ont estimé que l'art. 97 RCC devait se comprendre dans le cadre de l'art. 22 al. 4 LC et 86 let. c RCC qui dispensent les constructions enterrées des règles en matière d'alignement et de distance; ils en ont déduit que les maximums prévus en zone T3 concernaient uniquement les dimensions des constructions non souterraines. Dans la mesure où l'avancée litigieuse comportait des façades est et ouest complètement enterrées, leur longueur ne devait pas être ajoutée au maximum de 20 mètres. La construction était dès lors conforme au droit cantonal et au droit communal.</w:t>
      </w:r>
    </w:p>
    <w:p>
      <w:r>
        <w:rPr>
          <w:b/>
        </w:rPr>
        <w:t>E. 2.2</w:t>
      </w:r>
    </w:p>
    <w:p>
      <w:r>
        <w:t>Le Tribunal fédéral ne revoit l'interprétation et l'application du droit cantonal - et a fortiori communal -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141 I 36 consid. 1.3 p. 41; 134 II 349 consid. 3 p. 351 s. et les références). Le recourant doit ainsi indiquer précisément quelle disposition constitutionnelle ou légale a été violée et démontrer par une argumentation précise en quoi consiste la violation. L'acte de recours doit donc, à peine d'irrecevabilité, contenir un exposé succinct des droits constitutionnels ou des principes juridiques violés et préciser en quoi consiste la violation (cf. ATF 141 I 36 consid. 1.3 p. 41; 134 II 349 consid. 3 p. 351 s.). Eu égard à ces exigences, la reprise in extenso du texte de recours antérieurs est inadmissible (cf. ATF 134 II 244 consid. 2.1-2.3; arrêt 2C_528/2010 du 6 novembre 2010 consid. 2.2, publié in SJ 2011 I 107).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140 I 201 consid. 6.1 p. 205; 132 I 13 consid. 5.1 p. 17).</w:t>
      </w:r>
    </w:p>
    <w:p>
      <w:r>
        <w:rPr>
          <w:b/>
        </w:rPr>
        <w:t>E. 2.3</w:t>
      </w:r>
    </w:p>
    <w:p>
      <w:r>
        <w:t>Tant s'agissant de la hauteur que de la largeur de la construction litigieuse, la recourante se limite à opposer sa lecture de certaines dispositions légales et communales à l'interprétation des art. 11 al. 2 LC et 97 RCC à laquelle a procédé la cour cantonale. Reprochant de manière générale aux juges cantonaux d'avoir " rejeté " son interprétation des dispositions applicables et de s'être " trompés ", elle ne fait valoir à aucun endroit de ses écritures que l'instance précédente aurait appliqué le droit de manière arbitraire. Elle affirme certes que la hauteur du bâtiment dépasse à son sens " largement " les 9 mètres autorisés et qu'il est, selon elle, " évident " que l'avancée de la construction doit être prise en compte dans le calcul de la longueur: de telles assertions générales ne sauraient remplacer l'énoncé d'un grief de violation de l' art. 9 Cst. et, encore moins, la démonstration - qui lui aurait pourtant incombé - que les dispositions cantonales et communales pertinentes en matière de hauteur et de largeur d'une construction auraient été interprétées d'une manière manifestement contraire à leur sens ou à leur but. Enfin, le Tribunal fédéral ne peut entrer en matière sur la reprise mot à mot d'une critique antérieurement développée à l'intention d'une autre juridiction. La lecture de l'arrêt cantonal permet d'envisager que les dispositions pertinentes auraient pu être interprétées et appliquées d'une manière différente de celle adoptée par les juges cantonaux. Les motifs qu'ils ont énoncés dans leur décision n'apparaissent cependant pas incompatibles avec les textes prévus par le législateur communal. Là encore, la recourante s'écarte de son obligation accrue de motivation en ne démontrant pas que le résultat auquel est parvenue la cour cantonale serait arbitraire. Il n'appartient pour le surplus pas au Tribunal fédéral de s'immiscer dans l'interprétation du droit inférieur dont l'application est l'affaire exclusive des tribunaux des cantons ( art. 3 Cst. ).</w:t>
      </w:r>
    </w:p>
    <w:p>
      <w:r>
        <w:rPr>
          <w:b/>
        </w:rPr>
        <w:t>E. 2.4</w:t>
      </w:r>
    </w:p>
    <w:p>
      <w:r>
        <w:t>Dans ces conditions, ce pan du recours doit être déclaré irrecevable pour défaut de motivation suffisante ( art. 106 al. 2 LTF ).</w:t>
      </w:r>
    </w:p>
    <w:p>
      <w:r>
        <w:rPr>
          <w:b/>
        </w:rPr>
        <w:t>E. 3</w:t>
      </w:r>
    </w:p>
    <w:p>
      <w:r>
        <w:t>Dans un dernier grief, la recourante se plaint d'une violation de son droit d'être entendue en rapport avec un prétendu non-respect de la densité et un prétendu non-respect de la distance à la limite s'agissant du garage dépassant le terrain naturel. Ce grief est également irrecevable pour les motifs suivants. Dans son recours du 13 mars 2012, feu D.________ faisait grief à la Commune de ne pas avoir respecté le coefficient de densité de la construction et dénonçait une infraction aux règles sur la distance de la construction à la limite, s'agissant du garage enterré au nord de la construction. Dans son arrêt du 20 novembre 2013, le Tribunal cantonal a constaté qu'une série de griefs de feu D.________ n'avait pas été tranchée par le Conseil d'Etat et lui a renvoyé la cause pour nouvelle décision. Or, le Conseil d'Etat s'est limité, dans sa décision du 16 mars 2016, à examiner la question de la hauteur et de la largeur maximales et n'a pas abordé les autres griefs dirigés contre le permis de construire. Dans ses déterminations du 1 er juin 2016 au recours formé par la constructrice, la recourante n'a pas non plus repris son argumentation antérieure, se limitant à contester les questions de hauteur et largeur du bâtiment. Dans de telles conditions, après avoir renoncé à faire porter le débat devant l'instance cantonale sur des dispositions de droit cantonal et communal, la recourante ne peut plus les invoquer devant le Tribunal fédéral. Celui-ci applique certes le droit d'office ( art. 106 al. 1 LTF ), mais cette obligation ne s'applique qu'au droit fédéral ( ATF 142 I 155 consid. 4.4.3 p. 156 s.). La recourante ne peut pas non plus reprocher à l'instance cantonale de ne pas avoir traité des griefs qu'elle n'a pas développés devant elle, ce qui exclut aussi toute violation du droit d'être entendu.</w:t>
      </w:r>
    </w:p>
    <w:p>
      <w:r>
        <w:rPr>
          <w:b/>
        </w:rPr>
        <w:t>E. 4</w:t>
      </w:r>
    </w:p>
    <w:p>
      <w:r>
        <w:t>En définitive, le recours doit être déclaré irrecevable, aux frais de la recourante qui succombe (art. 65 al. 1 et 66 al. 1 et 5 LTF). Celle-ci versera en outre des dépens aux intimées, qui obtiennent gain de cause avec l'assistance d'un avocat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