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1C_420/2013 vom 28. Oktober 2013</w:t>
      </w:r>
    </w:p>
    <w:p>
      <w:r>
        <w:t>Bundesgericht, 2013-10-28, FR</w:t>
      </w:r>
    </w:p>
    <w:p>
      <w:r>
        <w:rPr>
          <w:b/>
        </w:rPr>
        <w:t xml:space="preserve">Quelle: </w:t>
      </w:r>
      <w:r>
        <w:t>https://mcp.opencaselaw.ch/entscheid/bger_1C_420_2013</w:t>
      </w:r>
    </w:p>
    <w:p>
      <w:r>
        <w:t>FR: TF 1C_420/2013 du 28 octobre 2013</w:t>
      </w:r>
    </w:p>
    <w:p>
      <w:r>
        <w:t>IT: TF 1C_420/2013 del 28 ottobre 2013</w:t>
      </w:r>
    </w:p>
    <w:p>
      <w:pPr>
        <w:pStyle w:val="Heading2"/>
      </w:pPr>
      <w:r>
        <w:t>Erwägungen</w:t>
      </w:r>
    </w:p>
    <w:p>
      <w:r>
        <w:rPr>
          <w:b/>
        </w:rPr>
        <w:t>E. 1.1</w:t>
      </w:r>
    </w:p>
    <w:p>
      <w:r>
        <w:t>Dans son arrêt de principe du 22 mai 2013 ( ATF 139 II 271 ), le Tribunal fédéral rappelle qu'Helvetia Nostra fait partie des organisations habilitées à recourir dans le domaine de la protection de la nature et du paysage au sens de l' art. 12 al. 1 let. b LPN (ch. 9 de la liste annexée ODO, RS 814.076). Le recours de ces associations n'est recevable que dans la mesure où l'objet du litige procède d'une tâche de la Confédération au sens des art. 78 Cst. et 2 LPN. L' art. 75b Cst. est une disposition directement applicable qui charge la Confédération de veiller au plafonnement des résidences secondaires à 20 %. L'objectif de cette norme est en premier lieu la protection de la nature et du paysage. Le Tribunal fédéral considère ainsi que le permis de construire une résidence secondaire repose sur des éléments spécialement régis par le droit fédéral et intervient donc en exécution d'une tâche de la Confédération (consid. 11.3). La qualité pour recourir doit dès lors être reconnue à Helvetia Nostra (consid. 11.4).</w:t>
      </w:r>
    </w:p>
    <w:p>
      <w:r>
        <w:rPr>
          <w:b/>
        </w:rPr>
        <w:t>E. 1.2</w:t>
      </w:r>
    </w:p>
    <w:p>
      <w:r>
        <w:t>Le Tribunal fédéral a par ailleurs admis, dans un deuxième arrêt de principe du 22 mai 2013 ( ATF 139 II 243 consid. 9-11), que l' art. 75b Cst. (en relation avec l' art. 197 ch. 9 al. 2 Cst. ) est directement applicable dès son entrée en vigueur le 11 mars 2012. Dans les communes où le taux de 20 % de résidences secondaires est déjà atteint, les permis de construire délivrés entre le 11 mars 2012 et le 31 décembre 2012 sont annulables.</w:t>
      </w:r>
    </w:p>
    <w:p>
      <w:r>
        <w:rPr>
          <w:b/>
        </w:rPr>
        <w:t>E. 2</w:t>
      </w:r>
    </w:p>
    <w:p>
      <w:r>
        <w:t>Sur le vu de ces arrêts, il y a lieu d'admettre la qualité d'Helvetia Nostra pour s'opposer au projet litigieux. La nature de celui-ci n'est en revanche pas clairement définie. L'arrêt attaqué laisse en effet la question indécise et, à teneur du dernier échange d'écritures, les intimés prétendent vouloir affecter la construction à de la résidence principale. Cette question, déterminante, n'a pas été examinée par les instances précédentes puisque les nouvelles dispositions constitutionnelles ont été jugées, à tort, inapplicables. Conformément à l' art. 99 al. 1 LTF , il n'appartient pas au Tribunal fédéral de statuer en première instance sur la base d'éléments nouveaux.</w:t>
      </w:r>
    </w:p>
    <w:p>
      <w:r>
        <w:rPr>
          <w:b/>
        </w:rPr>
        <w:t>E. 3</w:t>
      </w:r>
    </w:p>
    <w:p>
      <w:r>
        <w:t>Il y a lieu dès lors d'annuler l'arrêt attaqué. Dans un tel cas, le Tribunal fédéral peut renvoyer la cause à l'autorité précédente ou à celle qui a statué en première instance ( art. 107 al. 2 LTF ). Se pose la question de savoir si la cause doit être renvoyée à la cour cantonale ou à l'autorité communale, après annulation de l'autorisation de construire. En l'occurrence, la question de la conformité de l'autorisation de construire à l' art. 75b Cst. n'a pas été examinée lors du rejet de l'opposition par la commune; l'affectation du projet - en résidence principale ou secondaire - ne paraît d'ailleurs pas être clairement définie, compte tenu des dernières prises de position des constructeurs. Ceux-ci devront donc, s'ils maintiennent leur demande de permis de construire, apporter les éclaircissements nécessaires sur ces points. Il y a ainsi lieu d'annuler le permis de construire (dont l'admissibilité n'est en l'état pas démontrée) et de renvoyer la cause à l'autorité communale pour nouvelle décision.</w:t>
      </w:r>
    </w:p>
    <w:p>
      <w:r>
        <w:rPr>
          <w:b/>
        </w:rPr>
        <w:t>E. 4</w:t>
      </w:r>
    </w:p>
    <w:p>
      <w:r>
        <w:t>Compte tenu de l'issue de la cause, les frais judiciaires sont mis à la charge des intimés qui, à ce stade, succombent (art. 66 al. 1 et 68 al. 1 LTF). Il y a lieu également, conformément aux art. 67 et 68 al. 5 LTF , de fixer les frais et dépens pour la procédure devant le Tribunal cantonal. Les constructeurs n'ont certes pas été invités à procéder devant cette instance mais, compte tenu de ce qui précède, la cour cantonale aurait dû statuer en leur défaveur, ce qui justifie la mise à leur charge des frais de justice, ainsi que des dépens en faveur de la recourante. Au vu du grand nombre de recours similaires déposés par la recourante, il convient de réduire les dépens et de les fixer à 2'500 fr. pour l'ensemble des procédures fédérale et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