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420/2010 vom 25. Januar 2011</w:t>
      </w:r>
    </w:p>
    <w:p>
      <w:r>
        <w:t>Bundesgericht, 2011-01-25, DE</w:t>
      </w:r>
    </w:p>
    <w:p>
      <w:r>
        <w:rPr>
          <w:b/>
        </w:rPr>
        <w:t xml:space="preserve">Quelle: </w:t>
      </w:r>
      <w:r>
        <w:t>https://mcp.opencaselaw.ch/entscheid/bger_1C_420_2010</w:t>
      </w:r>
    </w:p>
    <w:p>
      <w:r>
        <w:t>FR: TF 1C 420/2010 du 25 janvier 2011</w:t>
      </w:r>
    </w:p>
    <w:p>
      <w:r>
        <w:t>IT: TF 1C 420/2010 del 25 gennaio 2011</w:t>
      </w:r>
    </w:p>
    <w:p>
      <w:pPr>
        <w:pStyle w:val="Heading2"/>
      </w:pPr>
      <w:r>
        <w:t>Regeste</w:t>
      </w:r>
    </w:p>
    <w:p>
      <w:r>
        <w:t>Opferhilfe; Entschädigung, Genugtuung | Strafprozess</w:t>
      </w:r>
    </w:p>
    <w:p>
      <w:pPr>
        <w:pStyle w:val="Heading2"/>
      </w:pPr>
      <w:r>
        <w:t>Erwägungen</w:t>
      </w:r>
    </w:p>
    <w:p>
      <w:r>
        <w:rPr>
          <w:b/>
        </w:rPr>
        <w:t>E. 1</w:t>
      </w:r>
    </w:p>
    <w:p>
      <w:r>
        <w:t>Der angefochtene, kantonal letztinstanzliche Entscheid betrifft die Abweisung eines Gesuchs um finanzielle Leistungen aufgrund des Opferhilfegesetzes. Dagegen ist die Beschwerde in öffentlich-rechtlichen Angelegenheiten ( Art. 82 ff. BGG ) zulässig (vgl. Urteil 1C_45/2007 vom 30. November 2007 E. 2 mit Hinweisen, nicht publ. in: BGE 134 II 33 ). Die Sachurteilsvoraussetzungen sind erfüllt und geben zu keinen weiteren Bemerkungen Anlass. Auf die Beschwerde ist einzutreten.</w:t>
      </w:r>
    </w:p>
    <w:p>
      <w:r>
        <w:rPr>
          <w:b/>
        </w:rPr>
        <w:t>E. 2</w:t>
      </w:r>
    </w:p>
    <w:p>
      <w:r>
        <w:t>Am 1. Januar 2009 ist das neue Bundesgesetz vom 23. März 2007 über die Hilfe an Opfer von Straftaten (OHG; SR 312.5) in Kraft getreten. Nach dessen Übergangsbestimmung gilt das bisherige Recht für Ansprüche auf Entschädigung oder Genugtuung für Straftaten, die vor Inkrafttreten des Gesetzes verübt worden sind, wobei für Ansprüche aus Straftaten, die weniger als zwei Jahre vor dem Inkrafttreten verübt worden sind, die Fristen nach Art. 25 OHG gelten ( Art. 48 lit. a OHG ). Im vorliegenden Fall erfolgte die Straftat am 10. Oktober 2006 und damit vor Inkrafttreten des neuen OHG am 1. Januar 2009. Zur Beurteilung der von den Beschwerdeführern geltend gemachten opferhilferechtlichen Entschädigungs- und Genugtuungsansprüche ist demzufolge das alte Opferhilfegesetz vom 4. Oktober 1991 in der bis zum 31. Dezember 2008 geltenden Fassung (aOHG) massgebend.</w:t>
      </w:r>
    </w:p>
    <w:p>
      <w:r>
        <w:rPr>
          <w:b/>
        </w:rPr>
        <w:t>E. 3.1</w:t>
      </w:r>
    </w:p>
    <w:p>
      <w:r>
        <w:t>Dem Opfer werden gemäss Art. 2 Abs. 2 lit. c aOHG der Ehegatte, die eingetragene Partnerin oder der eingetragene Partner, die Kinder und Eltern sowie andere Personen, die ihm in ähnlicher Weise nahe stehen, bei der Geltendmachung von Entschädigung und Genugtuung (Art. 11-17 aOHG) gleichgestellt, soweit diesen Personen Zivilansprüche gegenüber dem Täter zustehen. D.X.________ verfügte gemäss den Feststellungen der Vorinstanz im Todeszeitpunkt über die schweizerische Staatsangehörigkeit. Umstritten ist, ob er zu jenem Zeitpunkt auch (noch) seinen Wohnsitz in der Schweiz hatte. Dies ist gemäss Art. 11 Abs. 3 aOHG Voraussetzung für Entschädigung und Genugtuung, sofern sowohl der strafrechtliche Begehungs- als auch der Erfolgsort im Ausland liegen (vgl. BGE 124 II 507 E. 2b S. 508 f. mit Hinweisen).</w:t>
      </w:r>
    </w:p>
    <w:p>
      <w:r>
        <w:rPr>
          <w:b/>
        </w:rPr>
        <w:t>E. 3.2</w:t>
      </w:r>
    </w:p>
    <w:p>
      <w:r>
        <w:t>Das Sozialversicherungsgericht führt aus, beim vorliegenden internationalen Sachverhalt richte sich der Wohnsitzbegriff nach Art. 20 IPRG . In Anwendung dieser Bestimmung sei davon auszugehen, dass D.X.________ seinen Wohnsitz nach Saudi-Arabien verlegt habe. Zur Begründung legt das Sozialversicherungsgericht dar, D.X.________ sei für ein Studium von einer Dauer von zwei Jahren an der Islamischen Universität in Medina immatrikuliert gewesen, weshalb davon auszugehen sei, dass er die Absicht gehabt habe, für mindestens zwei Jahre in Medina zu bleiben. Von einer regelmässigen Rückkehr zu seinen Eltern könne aufgrund der Distanz keine Rede sein. Gemäss einem von der Universität verfassten Leitfaden könnten Studenten zudem höchstens einmal pro Studienjahr in ihr Heimatland ausreisen. Unter diesen Umständen sei davon auszugehen, dass nur noch eine stark gelockerte Beziehung zum bisherigen schweizerischen Wohnort bestand und dass sich der Verstorbene nicht lediglich zu Ausbildungszwecken in Saudi-Arabien aufhielt. Zu diesem Schluss käme man übrigens auch, wenn man nicht Art. 20 IPRG , sondern Art. 23 ff. ZGB anwenden würde. Denn mit der Verlegung des Lebensmittelpunkts seien auch die Voraussetzungen von Art. 23 Abs. 1 ZGB in Bezug auf Saudi-Arabien erfüllt und die Vermutung von Art. 26 ZGB widerlegt.</w:t>
      </w:r>
    </w:p>
    <w:p>
      <w:r>
        <w:rPr>
          <w:b/>
        </w:rPr>
        <w:t>E. 3.3</w:t>
      </w:r>
    </w:p>
    <w:p>
      <w:r>
        <w:t>Die Beschwerdeführer bringen vor, es seien die grosse Distanz und die Vorschriften der Universität gewesen, mithin äussere Umstände, die D.X.________ gezwungen hätten, nicht regelmässig zu den Eltern zurückzukehren. Er habe aber täglich nach Hause telefoniert. Unzutreffend sei, dass er sich nicht lediglich zu Ausbildungszwecken in Saudi-Arabien aufgehalten habe. Er habe dieses Land zuvor gar noch nie besucht; sämtliche persönlichen und beruflichen Kontakte seien in der Schweiz gewesen, wo er auch aufgewachsen sei und wo er später hätte die Rekrutenschule absolvieren wollen. Seine persönlichen Gegenstände seien in seinem vollständig eingerichteten Zimmer geblieben, sein Motorrad sei weiterhin eingelöst gewesen. Bei erster Gelegenheit wäre er in den Semesterferien für vier Monate in die Schweiz zurückgekehrt. Zudem hätte er nach Beendigung des Studiums sofort wieder ausreisen müssen. Die Vorinstanz habe diese wesentlichen Umstände ausser Acht gelassen, obwohl sie in der Beschwerde vorgebracht worden seien. Dadurch habe sie einerseits den Anspruch der Beschwerdeführer auf rechtliches Gehör ( Art. 29 Abs. 2 BV ) und die Pflicht zur Feststellung des Sachverhalts von Amtes wegen (Art. 16 Abs. 2 aOHG) verletzt, andererseits den Sachverhalt unrichtig festgestellt ( Art. 97 Abs. 1 BGG ). Indem die Vorinstanz einzig aufgrund der fehlenden Möglichkeit, regelmässig in die Schweiz zurückzukehren, davon ausgegangen sei, der Lebensmittelpunkt des Opfers habe sich nach Saudi-Arabien verlagert, habe sie Art. 20 Abs. 1 lit. a IPRG verletzt. Zudem habe sie nicht berücksichtigt, dass nach der Rechtsprechung zu Art. 26 ZGB der bisherige Wohnsitz bei den Eltern während eines Aufenthalts zu Studienzwecken so lange beibehalten werde, als nicht eine starke Lockerung zu jenem Wohnsitz stattfinde. Art. 26 ZGB sei entgegen der Ansicht des Sozialversicherungsgerichts sehr wohl auch im internationalen Verhältnis relevant.</w:t>
      </w:r>
    </w:p>
    <w:p>
      <w:r>
        <w:rPr>
          <w:b/>
        </w:rPr>
        <w:t>E. 3.4</w:t>
      </w:r>
    </w:p>
    <w:p>
      <w:r>
        <w:t>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Zu den Rechtsverletzungen im Sinne von Art. 95 BGG gehört auch die Verletzung des rechtlichen Gehörs. Wer vor Bundesgericht im Zusammenhang mit einer Sachverhaltsrüge eine Verletzung des rechtlichen Gehörs geltend macht, muss daher darlegen, dass und inwiefern die Gehörsverletzung für den Ausgang des Verfahrens entscheidend sein kann, wobei die Glaubhaftmachung eines anderen Entscheids in der Sache bei korrekter Vorgehensweise genügt (Urteil 9C_1001/2009 vom 15. April 2010 E. 3.2 mit Hinweisen, in: SVR 2011 AHV Nr. 2 S. 4). Die Frage nach der erforderlichen Bedeutung für den Ausgang des Verfahrens ist vor dem Hintergrund des anwendbaren Rechts zu beantworten. Das Sozialversicherungsgericht hat in dieser Hinsicht auf den Wohnsitzbegriff des IPRG abgestellt, was insofern relevant ist, als in internationalen Verhältnissen Art. 26 ZGB nicht gilt ( Art. 20 Abs. 2 Satz 3 IPRG ).</w:t>
      </w:r>
    </w:p>
    <w:p>
      <w:r>
        <w:rPr>
          <w:b/>
        </w:rPr>
        <w:t>E. 3.5</w:t>
      </w:r>
    </w:p>
    <w:p>
      <w:r>
        <w:t>Ist eine Person im Ausland Opfer einer Straftat geworden, kann sie eine Entschädigung oder eine Genugtuung nur verlangen, wenn sie das Schweizer Bürgerrecht und "Wohnsitz in der Schweiz" hat (Art. 11 Abs. 3 aOHG). Der Wohnsitz in der Schweiz bildet auch im revidierten Opferhilfegesetz Anspruchsvoraussetzung ( Art. 17 Abs. 1 OHG ), wobei davon auszugehen ist, dass der Begriff mit der Gesetzesrevision keine Änderung erfahren hat. Das öffentliche Recht bestimmt den Wohnsitzbegriff in seinem Bereich autonom (DANIEL STAEHELIN, in: Basler Kommentar, Zivilgesetzbuch I, 4. Aufl. 2010, N. 3 zu Art. 23 ZGB ). Es kann ihn eigenständig definieren wie Art. 3 DBG (SR 642.11) oder auch Art. 4 des Bundesgesetzes vom 24. Juni 1977 über die Zuständigkeit für die Unterstützung Bedürftiger (ZUG; SR 851.1), wenn auch weitgehend in Anlehnung an den zivilrechtlichen Wohnsitzbegriff (PETER LOCHER, Kommentar zum DBG, 2001, N. 4 zu Art. 3 DBG ). Es kann aber auch auf das Zivilrecht verweisen wie Art. 13 Abs. 1 ATSG (SR 830.1), wonach sich der Wohnsitz einer Person nach den Artikeln 23-26 des ZGB bestimmt. Demgegenüber findet sich im OHG hinsichtlich des Wohnsitzbegriffs weder eine eigenständige Definition noch ein ausdrücklicher Verweis auf das ZGB. Laut der Botschaft vom 9. November 2005 zur Totalrevision des Bundesgesetzes über die Hilfe an Opfer von Straftaten ist ein Wohnsitz im Sinne von Art. 23 ff. ZGB erforderlich (BBl 2005 7214 Ziff. 2.2.3). Die Anlehnung des Wohnsitzbegriffs des OHG an den zivilrechtlichen Begriff ist im Sinne der Einheitlichkeit und Rechtssicherheit die vorzugswürdige Lösung, zumal kein Grund besteht, davon abweichende Wohnsitzdefinitionen aus anderen öffentlich-rechtlichen Erlassen zu übernehmen. Im Übrigen hat das Bundesgericht in seiner bisherigen Rechtsprechung den Wohnsitz gemäss Art. 11 Abs. 3 aOHG angewendet, ohne einen vom Zivilrecht abweichenden Begriffsinhalt auch nur in Erwägung zu ziehen ( BGE 128 II 107 E. 2 S. 109 mit Hinweisen; 122 II 315 E. 2a S. 318; vgl. auch VPB 58/1994 Nr. 65 E. 2). Eine Anlehnung an den Wohnsitzbegriff gemäss Art. 22 IPRG drängt sich nicht auf, zumal dem Wohnsitzbegriff von Art. 11 Abs. 3 aOHG nicht die Rolle eines im internationalen Verhältnis relevanten Anknüpfungspunkts zukommt.</w:t>
      </w:r>
    </w:p>
    <w:p>
      <w:r>
        <w:rPr>
          <w:b/>
        </w:rPr>
        <w:t>E. 3.6</w:t>
      </w:r>
    </w:p>
    <w:p>
      <w:r>
        <w:t>Die Anlehnung des Wohnsitzbegriffs gemäss Art. 11 Abs. 3 aOHG an jenen des Zivilrechts bedeutet, dass sich die Frage des Wohnsitzes grundsätzlich nach den Art. 23-26 ZGB richtet. Nach Art. 23 Abs. 1 ZGB befindet sich der Wohnsitz einer Person an dem Ort, wo sie sich mit der Absicht dauernden Verbleibens aufhält. Für die Begründung des Wohnsitzes müssen somit zwei Merkmale erfüllt sein: ein objektives äusseres, der Aufenthalt, sowie ein subjektives inneres, die Absicht dauernden Verbleibens. Nach der Rechtsprechung kommt es nicht auf den inneren Willen, sondern darauf an, welche Absicht objektiv erkennbar ist ( BGE 136 II 405 E. 4.3 S. 409 f.; 133 V 309 E. 3.1 S. 312 f.; je mit Hinweisen). Der einmal erworbene Wohnsitz bleibt bestehen, solange nicht anderswo ein neuer begründet wird ( Art. 24 Abs. 1 ZGB ). Der Aufenthalt an einem Ort zum Zweck des Besuchs einer Lehranstalt und die Unterbringung einer Person in einer Erziehungs-, Versorgungs-, Heil- oder Strafanstalt begründen nach Art. 26 ZGB keinen Wohnsitz. Obwohl der Wortlaut nicht ohne Weiteres darauf schliessen lässt, wird in Art. 26 ZGB lediglich eine widerlegbare Vermutung angestellt, wonach der Aufenthalt am Studienort oder in einer Anstalt nicht bedeutet, dass auch der Lebensmittelpunkt an den fraglichen Ort verlegt worden ist; Art. 26 ZGB umschreibt somit im Ergebnis negativ, was Art. 23 Abs. 1 ZGB zum Wohnsitz in grundsätzlicher Hinsicht positiv festhält. Die Vermutung kann umgestossen werden, wenn eine Person freiwillig in eine Anstalt eintritt und sich dort mit der Absicht dauernden Verbleibens aufhält. Unter dieser Voraussetzung kann die Begründung eines Wohnsitzes am Anstaltsort bejaht werden ( BGE 134 V 236 E. 2.1 S. 239 f.; 133 V 309 E. 3.1 S. 312 f.; je mit Hinweisen). In Anlehnung daran soll im Rahmen der Revision des Vormundschaftsrechts der heutige Art. 26 ZGB aufgehoben und inhaltlich als Ergänzung in Art. 23 Abs. 1 ZGB aufgenommen und präzisiert werden. Gemäss dem neuen zweiten Halbsatz zu Art. 23 Abs. 1 ZGB begründet der Aufenthalt in einer Anstalt "für sich allein" keinen Wohnsitz. Damit wird einerseits verdeutlicht, dass die betroffene Person in gewissen Fällen an diesem Ort trotzdem ihren Lebensmittelpunkt und damit Wohnsitz haben kann, gleichzeitig aber auch bestätigt, dass ein Aufenthalt zu Sonderzwecken in der Regel keine Verschiebung des Mittelpunkts der Lebensbeziehungen bedeutet (vgl. Botschaft vom 28. Juni 2006 zur Änderung des Schweizerischen Zivilgesetzbuches [Erwachsenenschutz, Personenrecht und Kindesrecht], BBl 2006 7096 Ziff. 2.4.1 und BGE 135 III 49 E. 6.2 S. 56 f. mit Hinweisen).</w:t>
      </w:r>
    </w:p>
    <w:p>
      <w:r>
        <w:rPr>
          <w:b/>
        </w:rPr>
        <w:t>E. 3.7</w:t>
      </w:r>
    </w:p>
    <w:p>
      <w:r>
        <w:t>Allein aus der Unmöglichkeit einer regelmässigen Rückkehr zu schliessen, D.X.________ habe nur noch eine stark gelockerte Beziehung zur Schweiz gehabt und sich nicht lediglich zu Ausbildungszwecken in Saudi-Arabien aufgehalten, verletzt Art. 23 Abs. 1 i.V.m. Art. 26 ZGB . Die Bestimmung des Mittelpunkts der Lebensbeziehungen und die damit einhergehende Widerlegung der Vermutung von Art. 26 ZGB erfordern eine Berücksichtigung aller konkreten Umstände des Einzelfalls ( BGE 136 II 405 E. 4.3 S. 410 mit Hinweisen). Die tatsächlichen Vorbringen der Beschwerdeführer (siehe E. 3.3 hiervor) sind dabei bedeutsam: Sie könnten die Vermutung stützen, dass der Aufenthalt in Saudi-Arabien zu Studienzwecken nicht zu einer Verlagerung des Mittelpunkts der Lebensbeziehungen führte. Die Beschwerdeführer haben diese Umstände bereits im Verfahren vor dem Sozialversicherungsgericht geltend gemacht. Indem das Sozialversicherungsgericht sie unberücksichtigt liess, verletzte es den Anspruch der Beschwerdeführer auf rechtliches Gehör ( Art. 29 Abs. 2 BV ) und hat den Sachverhalt unvollständig und damit unrichtig im Sinne von Art. 97 Abs. 1 BGG festgestellt.</w:t>
      </w:r>
    </w:p>
    <w:p>
      <w:r>
        <w:rPr>
          <w:b/>
        </w:rPr>
        <w:t>E. 4</w:t>
      </w:r>
    </w:p>
    <w:p>
      <w:r>
        <w:t>Nach dem Gesagten ist die Beschwerde gutzuheissen und der angefochtene Entscheid aufzuheben. Die Angelegenheit ist zur korrekten Feststellung des Sachverhalts unter Wahrung des rechtlichen Gehörs und zur neuen Beurteilung im Sinne der vorangehenden Erwägungen an das Sozialversicherungsgericht zurückzuweisen. Gerichtskosten sind bei diesem Verfahrensausgang nicht zu erheben ( Art. 66 Abs. 1 und 4 BGG ). Der Kanton Zürich hat den anwaltlich vertretenen Beschwerdeführern eine angemessene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