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41/2018 vom 29. Januar 2018</w:t>
      </w:r>
    </w:p>
    <w:p>
      <w:r>
        <w:t>Bundesgericht, 2018-01-29, DE</w:t>
      </w:r>
    </w:p>
    <w:p>
      <w:r>
        <w:rPr>
          <w:b/>
        </w:rPr>
        <w:t xml:space="preserve">Quelle: </w:t>
      </w:r>
      <w:r>
        <w:t>https://mcp.opencaselaw.ch/entscheid/bger_1C_41_2018</w:t>
      </w:r>
    </w:p>
    <w:p>
      <w:r>
        <w:t>FR: TF 1C 41/2018 du 29 janvier 2018</w:t>
      </w:r>
    </w:p>
    <w:p>
      <w:r>
        <w:t>IT: TF 1C 41/2018 del 29 gennaio 2018</w:t>
      </w:r>
    </w:p>
    <w:p>
      <w:pPr>
        <w:pStyle w:val="Heading2"/>
      </w:pPr>
      <w:r>
        <w:t>Regeste</w:t>
      </w:r>
    </w:p>
    <w:p>
      <w:r>
        <w:t>Auslieferung an Deutschland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insoweit nach Art. 84 Abs. 1 BGG möglich ist. Entgegen der Auffassung des Beschwerdeführers handelt es sich jedoch um keinen besonders bedeutenden Fall. Der Beschwerdeführer macht geltend, er habe den Verzicht auf die Einhaltung des Spezialitätsprinzips ( Art. 38 Abs. 2 lit. a IRSG ) irrtümlich erklärt. Dafür enthalten die Einvernahmeprotokolle der Kantonspolizei und der Staatsanwaltschaft Zürich-Limmat vom 30. November 2017 jedoch keinerlei Anhaltspunkte. Vielmehr ergibt sich daraus, dass keine Verständigungsschwierigkeiten bestanden, der Beschwerdeführer nach seinen eigenen Angaben die Tragweite von Art. 38 IRSG erfasste und den Verzicht auf die Einhaltung des Spezialitätsprinzips klar erklärte. Wenn die Vorinstanz zum Schluss kommt, ein Irrtum sei insoweit nicht erkennbar (angefochtener Entscheid E. 3.2 S. 6), ist das nicht zu beanstanden. Auf die vorinstanzlichen Erwägungen kann, was die Einzelheiten betrifft, gemäss Art. 109 Abs. 3 BGG verwiesen werden. Zu weiteren Sachverhaltsabklärungen in Bezug auf den geltend gemachten Irrtum hatte die Vorinstanz unter den gegebenen Umständen keinen Anlass. Rechtsfragen von grundsätzlicher Bedeutung stellen sich nicht. Auch sonst wie kommt der Angelegenheit keine aussergewöhnliche Tragweite zu. Mangels besonders bedeutenden Falles kann auf die Beschwerde somit nicht eingetreten werden.</w:t>
      </w:r>
    </w:p>
    <w:p>
      <w:r>
        <w:rPr>
          <w:b/>
        </w:rPr>
        <w:t>E. 2</w:t>
      </w:r>
    </w:p>
    <w:p>
      <w:r>
        <w:t>Das Gesuch um unentgeltliche Rechtspflege nach Art. 64 BGG ist schon deshalb abzuweisen, weil es der Beschwerdeführer nicht begründet, wozu er verpflichtet gewesen wäre ( BGE 125 IV 161 E. 4a S. 164 f. mit Hinweisen; BERNARD CORBOZ, in: Commentaire de la LTF, 2. Aufl. 2014, N. 20 zu Art. 64 BGG ). Unter den gegebenen Umständen - der Beschwerdeführer befindet sich seit ca. zwei Monaten in Haft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