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1C_41/2016 vom 22. März 2016</w:t>
      </w:r>
    </w:p>
    <w:p>
      <w:r>
        <w:t>Bundesgericht, 2016-03-22, DE</w:t>
      </w:r>
    </w:p>
    <w:p>
      <w:r>
        <w:rPr>
          <w:b/>
        </w:rPr>
        <w:t xml:space="preserve">Quelle: </w:t>
      </w:r>
      <w:r>
        <w:t>https://mcp.opencaselaw.ch/entscheid/bger_1C_41_2016</w:t>
      </w:r>
    </w:p>
    <w:p>
      <w:r>
        <w:t>FR: TF 1C_41/2016 du 22 mars 2016</w:t>
      </w:r>
    </w:p>
    <w:p>
      <w:r>
        <w:t>IT: TF 1C_41/2016 del 22 marzo 2016</w:t>
      </w:r>
    </w:p>
    <w:p>
      <w:pPr>
        <w:pStyle w:val="Heading2"/>
      </w:pPr>
      <w:r>
        <w:t>Erwägungen</w:t>
      </w:r>
    </w:p>
    <w:p>
      <w:r>
        <w:rPr>
          <w:b/>
        </w:rPr>
        <w:t>E. 1.1</w:t>
      </w:r>
    </w:p>
    <w:p>
      <w:r>
        <w:t>Angefochten ist ein Zwischenentscheid im Sinne von Art. 93 BGG . Dagegen ist die Beschwerde an das Bundesgericht nur zulässig, wenn der Entscheid einen nicht wieder gutzumachenden Nachteil bewirken kann (Abs. 1 lit. a) oder - was hier indes von vorneherein ausser Betracht fällt - wenn die Gutheissung der Beschwerde sofort einen Endentscheid herbeiführen und damit einen bedeutenden Aufwand an Zeit oder Kosten für ein weitläufiges Beweisverfahren ersparen würde (Abs. 1 lit. b). Es obliegt der Beschwerdeführerin detailliert darzutun, dass die Eintretensvoraussetzungen von Art. 93 BGG erfüllt sind, soweit dies nicht offensichtlich der Fall ist ( BGE 137 III 324 E. 1.1 S. 328 f.).</w:t>
      </w:r>
    </w:p>
    <w:p>
      <w:r>
        <w:rPr>
          <w:b/>
        </w:rPr>
        <w:t>E. 1.2</w:t>
      </w:r>
    </w:p>
    <w:p>
      <w:r>
        <w:t>Die Beschwerdeführerin erachtet die Voraussetzungen von Art. 93 Abs. 1 lit. a BGG als gegeben. Mit der Editionsverfügung werde sie aufgefordert, Dokumente herauszugeben, welche Geschäftsgeheimnisse beträfen. Die Verpflichtung zur Offenbarung von Geschäftsgeheimnissen sowie von internen rechtlichen Einschätzungen und Prozessstrategien stelle einen Nachteil dar, welcher auch bei Gutheissung der Beschwerde gegen den Endentscheid nicht wieder rückgängig oder gutgemacht werden könne.</w:t>
      </w:r>
    </w:p>
    <w:p>
      <w:r>
        <w:rPr>
          <w:b/>
        </w:rPr>
        <w:t>E. 1.3</w:t>
      </w:r>
    </w:p>
    <w:p>
      <w:r>
        <w:t>Mit der angefochtenen Editionsverfügung wird die Beschwerdeführerin zur Mitwirkung im Rahmen der gerichtlichen Sachverhaltsabklärung angehalten.</w:t>
      </w:r>
    </w:p>
    <w:p>
      <w:r>
        <w:t>Ob sich die Beschwerdeführerin gegenüber dem EDÖB und der Vorinstanz überhaupt auf Geschäftsgeheimnisse berufen kann, kann offen bleiben. Geschäftsgeheimnisse werden offenbart, wenn Mitbewerber von wettbewerbsrelevanten Daten Kenntnis erhalten und daraus ungerechtfertigte Marktvorteile erzielen können. Mit der Editionsverfügung werden jedoch gegenüber Dritten - insbesondere Konkurrenten - keine Unterlagen offengelegt. Sowohl die Vorinstanz als auch der EDÖB unterstehen dem Amtsgeheimnis und sind verpflichtet, die im Verfahren erhaltenen Informationen geheim zu halten, ansonsten sie sich gemäss Art. 320 StGB strafbar machen könnten.</w:t>
      </w:r>
    </w:p>
    <w:p>
      <w:r>
        <w:t>Zwar publiziert der EDÖB nach Abschluss einer Sachverhaltsabklärung üblicherweise eine Empfehlung auf seiner Website, wobei den Betroffenen vor der Publikation die Gelegenheit eingeräumt wird, vertrauliche Informationen zu schwärzen, damit Mitbewerber davon keine Kenntnis erhalten. Wie es sich mit einer allfälligen, späteren Publikation im Einzelnen verhält, braucht - auch hinsichtlich des dereinst ergehenden Urteils des Bundesverwaltungsgerichts - indes vorliegend nicht näher untersucht zu werden, da diese nicht Gegenstand des Verfahrens betreffend Editionsverfügung bildet.</w:t>
      </w:r>
    </w:p>
    <w:p>
      <w:r>
        <w:t>Entgegen der Behauptung der Beschwerdeführerin ist nach dem Gesagten nicht ersichtlich, weshalb die Offenlegung der Dokumente einzig gegenüber der Vorinstanz und allenfalls dem EDÖB mit einem nicht wieder gutzumachenden Nachteil für die Beschwerdeführerin verbunden sein könnte. Mangels Darlegung eines nicht wieder gutzumachenden Nachteils ist auf die Beschwerde nicht einzutreten. Kann auf die Beschwerde nicht eingetreten werden, erübrigt sich ein Eingehen auf die Rüge der Gehörsverletzung gemäss Art. 29 Abs. 2 BV und auf die weiteren Vorbringen der Beschwerdeführerin.</w:t>
      </w:r>
    </w:p>
    <w:p>
      <w:r>
        <w:rPr>
          <w:b/>
        </w:rPr>
        <w:t>E. 2</w:t>
      </w:r>
    </w:p>
    <w:p>
      <w:r>
        <w:t>Bei diesem Verfahrensausgang sind die Gerichtskosten der Beschwerdeführerin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