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1C_41/2013 vom 24. April 2013</w:t>
      </w:r>
    </w:p>
    <w:p>
      <w:r>
        <w:t>Bundesgericht, 2013-04-24, FR</w:t>
      </w:r>
    </w:p>
    <w:p>
      <w:r>
        <w:rPr>
          <w:b/>
        </w:rPr>
        <w:t xml:space="preserve">Quelle: </w:t>
      </w:r>
      <w:r>
        <w:t>https://mcp.opencaselaw.ch/entscheid/bger_1C_41_2013</w:t>
      </w:r>
    </w:p>
    <w:p>
      <w:r>
        <w:t>FR: TF 1C_41/2013 du 24 avril 2013</w:t>
      </w:r>
    </w:p>
    <w:p>
      <w:r>
        <w:t>IT: TF 1C_41/2013 del 24 aprile 2013</w:t>
      </w:r>
    </w:p>
    <w:p>
      <w:pPr>
        <w:pStyle w:val="Heading2"/>
      </w:pPr>
      <w:r>
        <w:t>Erwägungen</w:t>
      </w:r>
    </w:p>
    <w:p>
      <w:r>
        <w:rPr>
          <w:b/>
        </w:rPr>
        <w:t>E. 1</w:t>
      </w:r>
    </w:p>
    <w:p>
      <w:r>
        <w:t>La décision entreprise, en tant qu'elle déclare irrecevable le recours cantonal du recourant, met un terme à la procédure et constitue ainsi une décision finale ( art. 90 LTF ). Dirigé pour le surplus contre une décision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 recourant, auteur d'un recours déclaré irrecevable pour défaut de qualité pour recourir est habilité à contester la décision cantonale d'irrecevabilité par un recours en matière de droit public ( art. 89 al. 1 LTF ; cf. ATF 131 II 497 consid. 1 et les références). Les autres conditions de recevabilité sont par ailleurs réunies, si bien qu'il y a lieu d'entrer en matière.</w:t>
      </w:r>
    </w:p>
    <w:p>
      <w:r>
        <w:rPr>
          <w:b/>
        </w:rPr>
        <w:t>E. 2</w:t>
      </w:r>
    </w:p>
    <w:p>
      <w:r>
        <w:t>L'objet du présent litige est limité à la question de savoir si, sans violer le droit fédéral ou consacrer d'application arbitraire du droit cantonal, l'autorité précédente pouvait déclarer irrecevable le recours cantonal du recourant. Par conséquent, sont irrecevables les conclusions du recourant tendant à ce que la décision de la DAEC soit annulée et que le PAL soit réexaminé par l'autorité communale dans le sens des considérants.</w:t>
      </w:r>
    </w:p>
    <w:p>
      <w:r>
        <w:rPr>
          <w:b/>
        </w:rPr>
        <w:t>E. 2.1</w:t>
      </w:r>
    </w:p>
    <w:p>
      <w:r>
        <w:t>La cour cantonale a retenu que, en vertu du droit fribourgeois, quiconque est touché par les plans d'affectation de zone ou leur réglementation et a un intérêt digne de protection à ce qu'ils soient annulés ou modifiés peut faire opposition, par dépôt d'un mémoire motivé auprès du secrétariat communal ou de la préfecture, pendant la durée de l'enquête publique (art. 84 al. 1 de la loi fribourgeoise du 2 décembre 2008 sur l'aménagement du territoire et les constructions; RS/FR 710.1; LATeC). En outre, selon l'art. 88 LATeC, les décisions communales sur les oppositions peuvent faire l'objet d'un recours à la Direction (al. 1), les décisions de cette dernière étant sujettes à un recours devant le Tribunal cantonal (al. 3). Enfin, à teneur de l'art. 118 du Code fribourgeois du 23 mai 1991 de procédure et de juridiction administrative (RS/FR 150.1; CPJA), le recours auprès d'une autorité supérieure n'est recevable qu'après épuisement des voies préalables de réclamation ou de recours.</w:t>
      </w:r>
    </w:p>
    <w:p>
      <w:r>
        <w:t>Après avoir posé que ces dispositions étaient conformes au droit fédéral, la cour cantonale a constaté que le recourant connaissait l'existence de la procédure de modification du PAL pour les motifs suivants: le dossier de révision avait été mis à l'enquête publique par avis dans la Feuille officielle du canton de Fribourg; le recourant avait lui-même participé régulièrement aux séances de l'assemblée communale lors desquelles il avait été question de cette révision; les enfants du recourant avaient proposé à la Commune de procéder à un échange de terrains dès 2005, ce qu'il ne pouvait pas ignorer dès lors qu'il exploitait avec eux le domaine concerné. La cour cantonale en a déduit que le recourant aurait ainsi dû présenter lui-même ses moyens dès la procédure pendante devant la Commune et que, à défaut de l'avoir fait, il n'avait pas épuisé les voies de recours préalables de sorte qu'il ne disposait pas de la qualité pour recourir.</w:t>
      </w:r>
    </w:p>
    <w:p>
      <w:r>
        <w:rPr>
          <w:b/>
        </w:rPr>
        <w:t>E. 2.2</w:t>
      </w:r>
    </w:p>
    <w:p>
      <w:r>
        <w:t>Le recourant fait d'abord valoir une violation du droit fédéral. A le suivre, une application correcte de l'art. 33 de la loi fédérale sur l'aménagement du territoire du 22 juin 1979 (RS 700; LAT) aurait dû entraîner la reconnaissance de sa qualité pour recourir, dans la mesure où il est particulièrement atteint par la décision attaquée. Le recourant explique ensuite qu'il avait totale confiance en ses enfants, qui étaient les plus intéressés à la révision du plan d'aménagement, raison pour laquelle il avait renoncé à participer lui-même à la procédure d'opposition et de recours; dans la mesure cependant où ceux-ci avaient décidé "de guerre lasse, après plusieurs procédures, de ne plus agir en défendant leurs droits par le dépôt d'un recours", il n'avait plus eu d'autre solution que d'agir en son propre nom. Contrairement à ce que laissait entendre la cour cantonale, il avait ainsi agi de parfaite bonne foi.</w:t>
      </w:r>
    </w:p>
    <w:p>
      <w:r>
        <w:t>Pour le surplus, le recourant expose avoir toujours un intérêt digne de protection: à cet égard, il se réfère à la convention du 30 juin 2000 entre son épouse et ses enfants au sujet du transfert de la propriété du domaine agricole et rappelle également qu'il demeure toujours formellement exploitant dudit domaine agricole.</w:t>
      </w:r>
    </w:p>
    <w:p>
      <w:r>
        <w:rPr>
          <w:b/>
        </w:rPr>
        <w:t>E. 2.3</w:t>
      </w:r>
    </w:p>
    <w:p>
      <w:r>
        <w:t>En vertu de l' art. 33 al. 3 let. a LAT , la qualité pour recourir devant les autorités cantonales doit être reconnue au moins dans les mêmes limites que pour le recours en matière de droit public devant le Tribunal fédéral. On exige ainsi du recourant qu'il ait pris part à la procédure devant l'autorité précédente - et que ses conclusions aient été rejetées en tout ou en partie - ou ait été privé de la possibilité de le faire ( art. 89 al. 1 let. a LTF ; ATF 136 II 281 consid. 2.2 p. 284). Cette condition de nature procédurale ("formelle Beschwer": ATF 133 II 249 consid. 1.3.1 p. 252) tire sa justification du principe de la bonne foi: la partie intéressée doit faire valoir ses moyens le plus tôt possible, au lieu d'attendre d'agir devant l'instance de recours pour lui soumettre pour la première fois des moyens qui n'avaient pas été examinés; la règle sert à assurer l'immutabilité du litige et reste cohérente avec le principe de l'épuisement des voies de recours préalables (cf. Moor/Poltier, Droit administratif, volume II: Les actes administratifs et leur contrôle, 3ème édition 2011, p. 752; Isabelle Häner, in Auer/Müller/Schindler, Kommentar zum VwVG, 2008, n. 7 ad art. 48 PA ). A cet égard, l'art. 118 CPJA auquel s'est référée l'autorité précédente est conforme à ces principes.</w:t>
      </w:r>
    </w:p>
    <w:p>
      <w:r>
        <w:t>La cour cantonale a retenu que le recourant connaissait l'existence de la procédure de révision du plan d'aménagement. L'intéressé ne le conteste pas. Il expose en revanche avoir renoncé à agir lui-même, lors de la mise à l'enquête publique et de la procédure de recours auprès de la DAEC, car il préférait s'en remettre au jugement de deux de ses enfants, qui seraient les plus intéressés à la révision du plan d'aménagement. Ce faisant, le recourant a opéré un choix procédural qui ne s'accommode pas avec le régime décrit précédemment de l'épuisement des voies de droit (cf. Isabelle Häner, op. cit., n. 8 ad art. 48 PA ). En refusant d'entrer en matière sur le recours en question, la cour cantonale n'a ainsi pas violé le droit fédéral. Quant aux griefs liés à l'existence d'un éventuel intérêt digne de protection, ils n'ont pas à être examinés dans la mesure où l'absence de participation à la procédure devant l'instance précédente constitue, à côté des autres conditions de recevabilité, une condition cumulative nécessaire à la légitimation pour recourir ( ATF 133 II 249 consid. 1.3 p. 252; Kiener/Rütsche/Kuhn, Öffentliches Verfahrensrecht, 2012, n. 1336).</w:t>
      </w:r>
    </w:p>
    <w:p>
      <w:r>
        <w:rPr>
          <w:b/>
        </w:rPr>
        <w:t>E. 3</w:t>
      </w:r>
    </w:p>
    <w:p>
      <w:r>
        <w:t>Au vu de ce qui précède, le recours doit être rejeté. Le recourant, qui succombe, supporte les frais de la présente procédure ( art. 66 al. 1 LTF ). Des dépens n'ont pas lieu d'être alloués à la Commune qui a obtenu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