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1C_419/2022 vom 1. September 2022</w:t>
      </w:r>
    </w:p>
    <w:p>
      <w:r>
        <w:t>Bundesgericht, 2022-09-01, DE</w:t>
      </w:r>
    </w:p>
    <w:p>
      <w:r>
        <w:rPr>
          <w:b/>
        </w:rPr>
        <w:t xml:space="preserve">Quelle: </w:t>
      </w:r>
      <w:r>
        <w:t>https://mcp.opencaselaw.ch/entscheid/bger_1C_419_2022</w:t>
      </w:r>
    </w:p>
    <w:p>
      <w:r>
        <w:t>FR: TF 1C_419/2022 du 1 septembre 2022</w:t>
      </w:r>
    </w:p>
    <w:p>
      <w:r>
        <w:t>IT: TF 1C_419/2022 del 1 settembre 2022</w:t>
      </w:r>
    </w:p>
    <w:p>
      <w:pPr>
        <w:pStyle w:val="Heading2"/>
      </w:pPr>
      <w:r>
        <w:t>Erwägungen</w:t>
      </w:r>
    </w:p>
    <w:p>
      <w:r>
        <w:rPr>
          <w:b/>
        </w:rPr>
        <w:t>E. 1</w:t>
      </w:r>
    </w:p>
    <w:p>
      <w:r>
        <w:t>Laut Rapport der Kantonspolizei Thurgau schlich sich A.________ am 11. März 2021 ins Pflegezentrum Tertianum in Berlingen ein, wo sie das Personal belästigt und wirre Reden gehalten habe. Sie wurde in der Folge von der Polizei dem zuständigen Notfallpsychiater vorgeführt, welcher eine fürsorgerische Unterbringung in der psychiatrischen Klinik Münsterlingen anordnete. Der Zustand von A.________ weckte bei den Polizeibeamten Zweifel an ihrer Fahreignung, weshalb sie ihr den Führerausweis zu Handen des Strassenverkehrsamts abnahmen.</w:t>
      </w:r>
    </w:p>
    <w:p>
      <w:r>
        <w:t>Am 22. April 2021 forderte das Strassenverkehrsamt A.________ auf, bis spätestens am 9. April 2021 ein Zeugnis der Psychiatrischen Klinik Münsterlingen über ihre allfällige Erkrankung und ihre Fahreignung einzureichen.</w:t>
      </w:r>
    </w:p>
    <w:p>
      <w:r>
        <w:t>Nachdem A.________ innert der ihr angesetzten Frist auf diese Aufforderung nicht reagierte, entzog ihr das Strassenverkehrsamt am 20. Mai 2021 den Führerausweis gemäss Art. 30 VZV vorsorglich.</w:t>
      </w:r>
    </w:p>
    <w:p>
      <w:r>
        <w:t>Diese Verfügung wurde am 25. Mai 2022 vom Verwaltungsgericht des Kantons Thurgau kantonal letztinstanzlich geschützt.</w:t>
      </w:r>
    </w:p>
    <w:p>
      <w:r>
        <w:t>Mit Eingabe vom 17. Juli 2022 erhebt A.________ Beschwerde gegen diesen Entscheid mit dem Antrag, ihr ihren Führerausweis wieder zurückzugeben.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Beschwerdeführerin setzt sich mit dem angefochtenen Entscheid nicht einmal ansatzweise auseinander. Sie bringt vielmehr bloss vor, man müsse berücksichtigen, dass sie lange Jahre unfallfrei gefahren sei und sich seit Mitte August 2021 einem "positiven Lebensstil zugewendet" habe. Sie lebe zudem in den Bergen und sei daher auf das Auto angewiesen. Diese Ausführungen sind nicht geeignet, den angefochtenen Entscheid bundesrechtswidrig erscheinen zu lassen. Auf die Beschwerde ist wegen Verletzung der gesetzlichen Begründungspflicht nicht einzutreten, wobei auf die Erhebung von Verfahrenskosten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