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419/2016 vom 7. November 2016</w:t>
      </w:r>
    </w:p>
    <w:p>
      <w:r>
        <w:t>Bundesgericht, 2016-11-07, DE</w:t>
      </w:r>
    </w:p>
    <w:p>
      <w:r>
        <w:rPr>
          <w:b/>
        </w:rPr>
        <w:t xml:space="preserve">Quelle: </w:t>
      </w:r>
      <w:r>
        <w:t>https://mcp.opencaselaw.ch/entscheid/bger_1C_419_2016</w:t>
      </w:r>
    </w:p>
    <w:p>
      <w:r>
        <w:t>FR: TF 1C 419/2016 du 7 novembre 2016</w:t>
      </w:r>
    </w:p>
    <w:p>
      <w:r>
        <w:t>IT: TF 1C 419/2016 del 7 novembre 2016</w:t>
      </w:r>
    </w:p>
    <w:p>
      <w:pPr>
        <w:pStyle w:val="Heading2"/>
      </w:pPr>
      <w:r>
        <w:t>Regeste</w:t>
      </w:r>
    </w:p>
    <w:p>
      <w:r>
        <w:t>Nichtigerklärung der erleichterten Einbürgerung | Bürgerrecht und Ausländerrecht</w:t>
      </w:r>
    </w:p>
    <w:p>
      <w:pPr>
        <w:pStyle w:val="Heading2"/>
      </w:pPr>
      <w:r>
        <w:t>Erwägungen</w:t>
      </w:r>
    </w:p>
    <w:p>
      <w:r>
        <w:rPr>
          <w:b/>
        </w:rPr>
        <w:t>E. 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Die übrigen Sachurteilsvoraussetzungen geben zu keinen Bemerkungen Anlass, sodass auf die Beschwerde unter diesem Vorbehalt einzutreten ist.</w:t>
      </w:r>
    </w:p>
    <w:p>
      <w:r>
        <w:rPr>
          <w:b/>
        </w:rPr>
        <w:t>E. 2.1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w:t>
      </w:r>
    </w:p>
    <w:p>
      <w:r>
        <w:rPr>
          <w:b/>
        </w:rPr>
        <w:t>E. 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 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2.4</w:t>
      </w:r>
    </w:p>
    <w:p>
      <w:r>
        <w:t>Gemäss dem am 1. März 2011 in Kraft getretenen Art. 41 Abs. 1bis BüG (in der Fassung vom 25. September 2009; AS 2011 347)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Die Neuregelung löste die frühere fünfjährige Frist ab (vgl. AS 1952 1087; BGE 140 II 65 E. 2.3). Übergangsrechtlich findet das neue Recht nach der Praxis von Bundes- und Bundesverwaltungsgericht Anwendung, wenn die altrechtliche Fünfjahresfrist beim Inkrafttreten der neuen Bestimmung - also am 1. März 2011 - noch nicht abgelaufen war, wobei der bereits unter dem alten Recht verstrichene Teil der Frist auf die neurechtliche Achtjahresfrist anzurechnen ist (Urteil 1C_540/2014 vom 5. Januar 2015 E. 3.1 mit Hinweisen auf die Praxis des BVGer). Der Beschwerdeführer wurde am 23. Oktober 2007 eingebürgert, mithin war die altrechtliche Fünfjahresfrist am 1. März 2011 noch nicht abgelaufen, womit entgegen der Auffassung des Beschwerdeführers die neurechtliche Bestimmung - Art. 41 Abs. 1bis BüG - zur Anwendung gelangt. Am 28. Mai 2013 wurde das SEM über die Scheidung des Beschwerdeführers informiert, worauf es die Einbürgerung am 10. September 2014, d.h. innerhalb von zwei Jahren bzw. innerhalb von 8 Jahren seit dem 23. Oktober 2007 für nichtig erklärte. Die Fristen für die Nichtigerklärung der Einbürgerung des Beschwerdeführers sind damit gewahrt.</w:t>
      </w:r>
    </w:p>
    <w:p>
      <w:r>
        <w:rPr>
          <w:b/>
        </w:rPr>
        <w:t>E. 3.1</w:t>
      </w:r>
    </w:p>
    <w:p>
      <w:r>
        <w:t>Unbestritten ist, dass der Beschwerdeführer 1999 illegal in die Schweiz einreiste und unter falscher Identität ein Asylgesuch stellte, welches am 10. August 2001 abgewiesen wurde. Nur 19 Tage später heiratete er eine Schweizerin brasilianischer Abstammung; ein Jahr später kam der gemeinsame Sohn zur Welt. Am 7. März 2006 ersuchte der Beschwerdeführer um erleichterte Einbürgerung, und am 1. Oktober 2007 gaben die Ehegatten die gemeinsame Erklärung ab, in einer stabilen Ehe zu leben, worauf die erleichterte Einbürgerung am 23. Oktober 2007 erfolgte. Am 3. Oktober 2008 liess die Ehefrau eine Eheschutzgesuch einreichen, worauf der Beschwerdeführer die gemeinsame Wohnung unverzüglich und für immer verliess. Am 19. Januar 2010 heiratete er im Irak unter einer anderen Identität eine Irakerin und hatte mit ihr zwei Kinder (2011 und 2012). Die Scheidung von seiner Schweizer Gattin erfolgte am 18. April 2013.</w:t>
      </w:r>
    </w:p>
    <w:p>
      <w:r>
        <w:rPr>
          <w:b/>
        </w:rPr>
        <w:t>E. 3.2</w:t>
      </w:r>
    </w:p>
    <w:p>
      <w:r>
        <w:t>Die Chronologie der Ereignisse legt nahe, dass für den Beschwerdeführer bei der Eheschliessung vom 29. August 2001 von Anfang an die Erlangung des Bürgerrechts im Vordergrund stand und nicht die Absicht, mit seiner damaligen Ehefrau eine stabile, auf Dauer ausgerichtete Ehe einzugehen: dafür spricht, dass er sie nur wenige Tage nach dem abschlägigen Asylentscheid einging, er seine wahre Identität nicht enthüllte und die Ehe bereits wenige Monate nach der Einbürgerung scheiterte, ohne dass ein später eingetretener Umstand ersichtlich wäre, der dies plausibel erklären könnte. Dass er bloss gut ein Jahr nach seinem Auszug aus der ehelichen Wohnung und ohne die Scheidung abzuwarten, in den Irak reiste, eine Frau aus seinem Kulturkreis heiratete und mit ihr Kinder zeugte, ist ein weiteres starkes Indiz dafür, dass er jedenfalls im Zeitpunkt der Einbürgerung nicht (mehr) die Absicht gehabt hatte, die Ehe mit seiner damaligen schweizerischen Gattin fortzuführen.</w:t>
      </w:r>
    </w:p>
    <w:p>
      <w:r>
        <w:rPr>
          <w:b/>
        </w:rPr>
        <w:t>E. 3.3</w:t>
      </w:r>
    </w:p>
    <w:p>
      <w:r>
        <w:t>Was der Beschwerdeführer dagegen vorbringt, ist nicht geeignet, die (begründete) Vermutung zu widerlegen, die Ehe sei bereits im Zeitpunkt der "gemeinsamen Erklärung" nicht mehr intakt und auf unbestimmte Dauer angelegt gewesen. Die damalige Ehefrau hat denn auch erklärt, die Ehe sei von Anfang an schlecht gelaufen, weil er fremdgegangen sei, sich wenig um den Sohn gekümmert und Geld nach Kurdistan geschickt habe; sie habe dies wegen des gemeinsamen Kindes geduldet. Nach der Einbürgerung habe er sein wahres Gesicht gezeigt, es sei danach immer schlimmer geworden; im Zeitpunkt der "gemeinsamen Erklärung" sei der Zustand der Ehe "gerade noch gut" gewesen (Entscheid BFM vom 10. September 2014 E. 5.4 S. 6). Auch wenn der Beschwerdeführer bestreitet, seiner Frau untreu gewesen zu sein, so bestanden doch offensichtlich von Anfang an grosse Spannungen zwischen den Eheleuten, und ihre Vorstellung von einer guten Ehe klafften weit auseinander. Wenn die Ehefrau ihre Ehe als im Zeitpunkt der gemeinsamen Erklärung "gerade noch gut" bezeichnete, so kann dies vor diesem Hintergrund nur bedeuten, dass sie sie als schwer erschüttert, aber noch nicht vollständig zerstört einstufte. Stabil und auf Dauer ausgerichtet war sie damit, was beiden Gatten bewusst gewesen sein musste, jedenfalls nicht mehr. Das Bundesverwaltungsgericht hat kein Bundesrecht verletzt, indem es zum Schluss kam, der Beschwerdeführer habe seine Einbürgerung durch falsche Angaben in der "gemeinsamen Erklärung" erwirkt, und ihre Nichtigerklärung durch das Bundesamt schützte. Die Beschwerde erweist sich als unbegründet.</w:t>
      </w:r>
    </w:p>
    <w:p>
      <w:r>
        <w:rPr>
          <w:b/>
        </w:rPr>
        <w:t>E. 4</w:t>
      </w:r>
    </w:p>
    <w:p>
      <w:r>
        <w:t>Die Beschwerde ist somit abzuweisen. Damit wird der Beschwerdeführer kostenpflichtig ( Art. 66 Abs. 1 BGG ). Er hat zwar ein Gesuch um unentgeltliche Rechtspflege und Verbeiständung gestellt, welches indessen abzuweisen ist, da die Beschwerde aussichtslos war ( Art. 64 Abs. 1 und 2 BGG ). Da auch die Beschwerde an die Vorinstanz nicht aussichtsreicher war, erweist sich auch der Antrag auf Abänderung der vorinstanzlichen Gerichts- und Parteikostenregelung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