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1C_416/2023 vom 31. August 2023</w:t>
      </w:r>
    </w:p>
    <w:p>
      <w:r>
        <w:t>Bundesgericht, 2023-08-31, IT</w:t>
      </w:r>
    </w:p>
    <w:p>
      <w:r>
        <w:rPr>
          <w:b/>
        </w:rPr>
        <w:t xml:space="preserve">Quelle: </w:t>
      </w:r>
      <w:r>
        <w:t>https://mcp.opencaselaw.ch/entscheid/bger_1C_416_2023</w:t>
      </w:r>
    </w:p>
    <w:p>
      <w:r>
        <w:t>FR: TF 1C_416/2023 du 31 août 2023</w:t>
      </w:r>
    </w:p>
    <w:p>
      <w:r>
        <w:t>IT: TF 1C_416/2023 del 31 agosto 2023</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un sequestro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2.1</w:t>
      </w:r>
    </w:p>
    <w:p>
      <w:r>
        <w:t>Il ricorrente, che nemmeno richiama l' art. 84 LTF , non spiega minimamente perché si sarebbe in presenza di un caso particolarmente importante ai sensi dela citata norma (art. 42 cpv. 2 secondo periodo LTF). Il ricorso è quindi inammissibile. Per di più, disattendendo nuovamente il suo obbligo di motivazione ( DTF 148 IV 205 consid. 2.6), con le sue generiche critiche meramente appellatorie, egli neppure tenta di dimostrare che la CRP si sarebbe scostata dalla costante prassi.</w:t>
      </w:r>
    </w:p>
    <w:p>
      <w:r>
        <w:rPr>
          <w:b/>
        </w:rPr>
        <w:t>E. 2.2</w:t>
      </w:r>
    </w:p>
    <w:p>
      <w:r>
        <w:t>Ne segue che il ricorso è inammissibile per carenza di motivazione. Le spese seguono la soccombenza ( art. 66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