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1C_415/2025 vom 15. September 2025</w:t>
      </w:r>
    </w:p>
    <w:p>
      <w:r>
        <w:t>Bundesgericht, 2025-09-15, DE</w:t>
      </w:r>
    </w:p>
    <w:p>
      <w:r>
        <w:rPr>
          <w:b/>
        </w:rPr>
        <w:t xml:space="preserve">Quelle: </w:t>
      </w:r>
      <w:r>
        <w:t>https://mcp.opencaselaw.ch/entscheid/bger_1C_415_2025</w:t>
      </w:r>
    </w:p>
    <w:p>
      <w:r>
        <w:t>FR: TF 1C_415/2025 du 15 septembre 2025</w:t>
      </w:r>
    </w:p>
    <w:p>
      <w:r>
        <w:t>IT: TF 1C_415/2025 del 15 settembre 2025</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macht geltend, es liege ein besonders bedeutender Fall vor, weil durch eine Auslieferung sein Anspruch auf Achtung des Privat- und Familienlebens ( Art. 13 Abs. 1 BV , Art. 8 EMRK und Art. 17 UNO-Pakt II [SR 0.103.2]) verletzt würde. Das Bundesstrafgericht weist diesbezüglich zu Recht auf die Praxis des Bundesgerichts und des Europäischen Gerichtshofs für Menschenrechte hin, wonach Eingriffe in das Familienleben, die auf rechtmässige Strafverfolgungsmassnahmen zurückzuführen sind, grundsätzlich zulässig sind. Der blosse Umstand, dass Gefangene weit von ihren nächsten Angehörigen entfernt in Haft gehalten werden, sodass Besuche erschwert werden, bedeutet noch keinen unzulässigen Eingriff in das Privat- und Familienleben. Nur ganz ausnahmsweise kommt in Frage, zum Schutz des Familienlebens ein Auslieferungsersuchen abzulehnen (s. im Einzelnen Urteil 1C_398/2024 vom 15. August 2024 E. 5.1 f.).</w:t>
      </w:r>
    </w:p>
    <w:p>
      <w:r>
        <w:t>Nach den Sachverhaltsfeststellungen des Bundesstrafgerichts, die nicht offensichtlich falsch sind (vgl. Art. 97 Abs. 1 BGG ), ist hier nicht von derartigen aussergewöhnlichen Verhältnissen auszugehen. Der Beschwerdeführer belegt seine Behauptung, dass seine Ehefrau keiner Erwerbstätigkeit nachgehen könne und aufgrund ihres labilen Gesundheitszustands der mit der Auslieferung verbundene Beziehungsunterbruch für sie und ihr Kind lebensgefährlich wäre, nicht. Das Bundesstrafgericht stützt sich diesbezüglich auf einen Bericht des Kindes- und Erwachsenenschutzdienstes (KESD) Villmergen vom 12. Juni 2025. Darin werde zwar eine latente Kindeswohlgefährdung festgestellt, dies jedoch nicht nur aufgrund der möglichen Inhaftierung des Beschwerdeführers, sondern insbesondere auch aufgrund der begrenzten Wohnverhältnisse, der finanziell angespannten Situation, den wenigen sozialen Kontakten sowie den mangelnden Deutschkenntnissen. Schutzmassnahmen seien freilich keine angeordnet worden und bezüglich der Wohnungssuche und Unterstützung in finanziellen sowie persönlichen Belangen habe der KESD die persönliche Beratung der Eltern empfohlen. Die Ehefrau des Beschwerdeführers habe Kenntnis von den Hilfemöglichkeiten, auf die sie im Falle einer psychischen Ausnahmesituation zurückgreifen könne. Das Kind habe zudem heute einen Kindergartenplatz. Es sei davon auszugehen, dass die Ehefrau und das Kind nach einer Auslieferung die notwendige Unterstützung erhalten würden. Die Belastung wäre für die Familie bei einem Strafvollzug in der Schweiz vergleichbar.</w:t>
      </w:r>
    </w:p>
    <w:p>
      <w:r>
        <w:t>Diese Erwägungen sind nicht zu beanstanden. Der angefochtene Entscheid entspricht der bundesgerichtlichen Praxis (vgl. Urteil 1C_398/2024 vom 15. August 2024 E. 5 f. mit Hinweisen). Dass der Fall aus einem anderen Grund besonders bedeutend wäre, behauptet der Beschwerdeführer nicht. Für das Bundesgericht besteht damit kein Anlass, die Sache an die Hand zu nehmen.</w:t>
      </w:r>
    </w:p>
    <w:p>
      <w:r>
        <w:rPr>
          <w:b/>
        </w:rPr>
        <w:t>E. 2</w:t>
      </w:r>
    </w:p>
    <w:p>
      <w:r>
        <w:t>Auf die Beschwerde ist deshalb nicht einzutreten. Damit wird das Gesuch um aufschiebende Wirkung gegenstandslos. Der Beschwerde kommt im vorliegenden Fall ohnehin schon von Gesetzes wegen aufschiebende Wirkung zu ( Art. 103 Abs. 2 lit. c BGG ).</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