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414/2017 vom 30. August 2017</w:t>
      </w:r>
    </w:p>
    <w:p>
      <w:r>
        <w:t>Bundesgericht, 2017-08-30, DE</w:t>
      </w:r>
    </w:p>
    <w:p>
      <w:r>
        <w:rPr>
          <w:b/>
        </w:rPr>
        <w:t xml:space="preserve">Quelle: </w:t>
      </w:r>
      <w:r>
        <w:t>https://mcp.opencaselaw.ch/entscheid/bger_1C_414_2017</w:t>
      </w:r>
    </w:p>
    <w:p>
      <w:r>
        <w:t>FR: TF 1C 414/2017 du 30 août 2017</w:t>
      </w:r>
    </w:p>
    <w:p>
      <w:r>
        <w:t>IT: TF 1C 414/2017 del 30 agosto 2017</w:t>
      </w:r>
    </w:p>
    <w:p>
      <w:pPr>
        <w:pStyle w:val="Heading2"/>
      </w:pPr>
      <w:r>
        <w:t>Regeste</w:t>
      </w:r>
    </w:p>
    <w:p>
      <w:r>
        <w:t>Auslieferungshaft | Rechtshilfe und Auslieferung</w:t>
      </w:r>
    </w:p>
    <w:p>
      <w:pPr>
        <w:pStyle w:val="Heading2"/>
      </w:pPr>
      <w:r>
        <w:t>Erwägungen</w:t>
      </w:r>
    </w:p>
    <w:p>
      <w:r>
        <w:rPr>
          <w:b/>
        </w:rPr>
        <w:t>E. 1.1</w:t>
      </w:r>
    </w:p>
    <w:p>
      <w:r>
        <w:t>Gemäss Art. 84 BGG ist gegen einen Entscheid auf dem Gebiet der internationalen Rechtshilfe in Strafsachen die Beschwerde nur zulässig, wenn er unter anderem eine Auslieferung betrifft und es sich um einen besonders bedeutenden Fall handelt (Abs. 1). Ein besonders bedeutender Fall liegt insbesondere vor, wenn Gründe für die Annahme bestehen, dass elementare Verfahrensgrundsätze verletzt worden sind oder das Verfahren im Ausland schwere Mängel aufweist (Abs. 2). Art. 84 BGG bezweckt die wirksame Begrenzung des Zugangs zum Bundesgericht im Bereich der internationalen Rechtshilfe in Strafsachen. Ein besonders bedeutender Fall ist mit Zurückhaltung anzunehmen ( BGE 139 II 340 E. 4 S. 342; 136 IV 139 E. 2.4 S. 144; 134 IV 156 E. 1.3.1 S. 160). Gemäss Art. 42 Abs. 2 BGG ist in der Begründung der Rechtsschrift in gedrängter Form darzulegen, inwiefern der angefochtene Akt Recht verletzt. Ist eine Beschwerde nur unter der Voraussetzung zulässig, dass ein besonders bedeutender Fall nach Artikel 84 vorliegt, so ist auszuführen, warum diese Voraussetzung erfüllt ist. Nach Art. 109 BGG entscheidet die Abteilung in Dreierbesetzung über Nichteintreten auf Beschwerden, bei denen kein besonders bedeutender Fall vorliegt (Abs. 1). Der Entscheid wird summarisch begründet. Es kann ganz oder teilweise auf den angefochtenen Entscheid verwiesen werden (Abs. 3).</w:t>
      </w:r>
    </w:p>
    <w:p>
      <w:r>
        <w:rPr>
          <w:b/>
        </w:rPr>
        <w:t>E. 1.2</w:t>
      </w:r>
    </w:p>
    <w:p>
      <w:r>
        <w:t>Gemäss Art. 93 Abs. 2 BGG sind auf dem Gebiet der internationalen Rechtshilfe in Strafsachen Zwischenentscheide nicht anfechtbar. Vorbehalten bleiben Beschwerden gegen Entscheide unter anderem über die Auslieferungshaft, sofern die Voraussetzungen von Absatz 1 erfüllt sind, was insoweit zutrifft ( BGE 136 IV 20 E. 1.1 S. 22). Auch ein Entscheid über die Auslieferungshaft ist jedoch nur anfechtbar, wenn insoweit ein besonders bedeutender Fall nach Art. 84 BGG gegeben ist ( BGE 136 IV 20 E. 1.2 S. 22 mit Hinweisen). Der Beschwerdeführer legt nicht dar, weshalb hier in Bezug auf die Auslieferungshaft ein besonders bedeutender Fall vorliegen soll. Ob man annehmen kann, dass der Beschwerdeführer das zumindest sinngemäss tut und damit seiner Begründungspflicht ( Art. 42 Abs. 2 BGG ) genügt, kann dahingestellt bleiben. Ein besonders bedeutender Fall ist jedenfalls zu verneinen. Der angefochtene Entscheid stützt sich auf die bundesgerichtliche Rechtsprechung, auf die zurückzukommen kein Anlass besteht, und lässt keine Bundesrechtsverletzung erkennen. Auf die Erwägungen der Vorinstanz kann verwiesen werden ( Art. 109 Abs. 3 BGG ). Zu Recht trägt diese dem Umstand Rechnung, dass sich mit der Abweisung der gegen den Auslieferungsentscheid des BJ gerichteten Beschwerde am 21. Juli 2017 für den Beschwerdeführer die Möglichkeit der Auslieferung nach Italien gegenüber dem Beginn des Auslieferungsverfahrens konkretisiert hat. Daraus durfte die Vorinstanz ohne Bundesrechtsverletzung auf eine Erhöhung der Fluchtgefahr schliessen, welche unter den gegebenen Umständen die erneute Versetzung in Auslieferungshaft rechtfertigte. Die Möglichkeit einer derartigen erneuten Inhaftierung sieht Art. 51 Abs. 2 IRSG ausdrücklich vor. Rechtsfragen von grundsätzlicher Bedeutung stellen sich nicht. Für das Bundesgericht besteht deshalb kein Anlass, die vorliegende Beschwerde an die Hand zu nehmen.</w:t>
      </w:r>
    </w:p>
    <w:p>
      <w:r>
        <w:rPr>
          <w:b/>
        </w:rPr>
        <w:t>E. 1.3</w:t>
      </w:r>
    </w:p>
    <w:p>
      <w:r>
        <w:t>Hervorzuheben ist, dass es hier einzig darum ging, ob ein besonders bedeutender Fall im Zusammenhang mit der Auslieferungshaft gegeben sei. Die Frage, ob im Verfahren 1C_399/2017, wo es um die Auslieferung als solche geht, ein derartiger Fall zu bejahen sei, wird mit dem vorliegenden Urteil nicht präjudiziert.</w:t>
      </w:r>
    </w:p>
    <w:p>
      <w:r>
        <w:rPr>
          <w:b/>
        </w:rPr>
        <w:t>E. 2</w:t>
      </w:r>
    </w:p>
    <w:p>
      <w:r>
        <w:t>Nach dem Gesagten ist die Beschwerde unzulässig. Bei diesem Ausgang des Verfahrens trägt der Beschwerdeführer die Kosten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