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1C_412/2012 vom 22. Juli 2013</w:t>
      </w:r>
    </w:p>
    <w:p>
      <w:r>
        <w:t>Bundesgericht, 2013-07-22, FR</w:t>
      </w:r>
    </w:p>
    <w:p>
      <w:r>
        <w:rPr>
          <w:b/>
        </w:rPr>
        <w:t xml:space="preserve">Quelle: </w:t>
      </w:r>
      <w:r>
        <w:t>https://mcp.opencaselaw.ch/entscheid/bger_1C_412_2012</w:t>
      </w:r>
    </w:p>
    <w:p>
      <w:r>
        <w:t>FR: TF 1C_412/2012 du 22 juillet 2013</w:t>
      </w:r>
    </w:p>
    <w:p>
      <w:r>
        <w:t>IT: TF 1C_412/2012 del 22 luglio 2013</w:t>
      </w:r>
    </w:p>
    <w:p>
      <w:pPr>
        <w:pStyle w:val="Heading2"/>
      </w:pPr>
      <w:r>
        <w:t>Erwägungen</w:t>
      </w:r>
    </w:p>
    <w:p>
      <w:r>
        <w:rPr>
          <w:b/>
        </w:rPr>
        <w:t>E. 1</w:t>
      </w:r>
    </w:p>
    <w:p>
      <w:r>
        <w:t>Le Tribunal fédéral examine d'office et librement la recevabilité des recours qui lui sont soumis ( ATF 135 III 329 consid. 1 p. 331 et les arrêts cités). Toutefois, lorsque les conditions de recevabilité, en particulier la qualité pour recourir, ne ressortent pas à l'évidence de la décision attaquée ou du dossier de la cause, le recourant doit exposer en quoi elles sont réunies sous peine d'irrecevabilité ( art. 42 al. 1 et 2 LTF ; ATF 133 II 353 consid. 1 p. 356 et les références).</w:t>
      </w:r>
    </w:p>
    <w:p>
      <w:r>
        <w:rPr>
          <w:b/>
        </w:rPr>
        <w:t>E. 1.1</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1.2</w:t>
      </w:r>
    </w:p>
    <w:p>
      <w:r>
        <w:t>Le Département de l'intérieur fonde sa qualité pour recourir sur l' art. 89 al. 2 let . c LTF.</w:t>
      </w:r>
    </w:p>
    <w:p>
      <w:r>
        <w:t>D'après l' art. 89 al. 2 let . c LTF, les collectivités publiques ont qualité pour agir lorsqu'elles invoquent la violation de garanties qui leur sont reconnues par les constitutions cantonales ou fédérale (arrêt 1C_365/2010 du 18 janvier 2011 consid. 1.1, non publié in ATF 137 II 23 ). Cette disposition ouvre notamment aux communes la voie du recours pour violation de leur autonomie ( ATF 136 I 265 consid. 1.3 p. 268; 135 I 302 consid. 1.1 p. 304). La question de savoir si un canton peut fonder sa qualité pour recourir sur l' art. 89 al. 2 let . c LTF pour se plaindre de la violation de sa souveraineté garantie par l' art. 3 Cst. n'est pas clairement tranchée en pratique (cf. ATF 138 I 196 consid. 1.2.1; arrêt 9C_476/2010 du 24 novembre 2010 consid. 1, in: SVR 2011 BVG n° 17 p. 62). Confirmant la jurisprudence rendue avant l'entrée en vigueur de la LTF, le Tribunal fédéral a toutefois eu l'occasion de préciser que le canton ne peut pas se prévaloir d'une telle garantie à l'encontre d'un acte de puissance publique cantonal rendu par son propre tribunal administratif ( ATF 133 II 400 consid. 2.4.1 p. 405 s.; arrêt 2C_620/2012 du 14 février 2013 consid. 1.2.3; cf. en ce sens également ATF 134 II 45 consid. 2.1 p. 46; arrêts 8C_212/2009 du 15 avril 2010 consid. 3.1, non publié in ATF 136 I 220 , in SVR 2010 KV n° 14 p. 55; 2C_695/2007 du 18 février 2008 consid. 2.1). Dans ces circonstances, le Département de l'intérieur n'a pas la qualité pour recourir contre l'arrêt du Tribunal cantonal en vertu de l' art. 89 al. 2 let . c LTF.</w:t>
      </w:r>
    </w:p>
    <w:p>
      <w:r>
        <w:rPr>
          <w:b/>
        </w:rPr>
        <w:t>E. 1.3</w:t>
      </w:r>
    </w:p>
    <w:p>
      <w:r>
        <w:t>Au surplus, le DINT n'allègue pas avoir la qualité pour recourir au sens de l'art. 89 al. 1 ni al. 2 let. d LTF. Faute de motivation suffisante ( art. 42 al. 1 et 2 LTF ), il n'y aurait pas lieu d'examiner leur pertinence en l'espèce. Quoi qu'il en soit, il est douteux que la voie du recours au Tribunal fédéral lui eut été ouverte en vertu de l'une de ces dispositions. En effet, d'une part, s'agissant de l' art. 89 al. 1 LTF , le canton n'a pas été atteint dans ses droits comme un particulier ni n'a été touché de manière qualifiée, le simple intérêt public à la bonne application du droit, notamment, étant insuffisant pour fonder la qualité ordinaire pour recourir des collectivités (cf. ATF 138 II 506 consid. 2.1.1 p. 508; 138 I 143 consid. 1.3.2 p. 149; 136 II 274 consid. 4.2 p. 279). D'autre part, s'agissant de l' art. 89 al. 2 let . d LTF, l'arrêt attaqué ne porte pas sur un cas pour lequel l'art. 34 de la loi fédérale sur l'aménagement du territoire (LAT; RS 700) ou une autre disposition légale confère expressément la qualité pour recourir aux cantons. Il ne s'agit en particulier pas d'un litige portant sur la reconnaissance de la conformité à l'affectation de la zone de constructions et d'installations sises hors de la zone à bâtir ni sur une autorisation dérogatoire hors zone à bâtir au sens de l'art. 34 al. 2 let. b et c LAT. En effet, lors de la consultation des services cantonaux, le SDT a expressément indiqué qu'une autorisation de construire au sens de l'art. 120 LATC - disposition qui prévoit l'obligation d'obtenir une autorisation spéciale pour construire, reconstruire, agrandir, transformer ou modifier de la destination de constructions hors des zones à bâtir - n'était pas nécessaire. A aucun moment, en procédure cantonale, le SDT n'a avancé l'argument de la séparation du bâti et du non bâti. Il s'est borné à indiquer que la construction projetée n'était pas conforme à l'affectation de la zone. A suivre le service cantonal qui considère l'art. 120 LATC non applicable en l'espèce, la portion de terrain litigieuse n'est ainsi pas située hors zone à bâtir. Dans son recours, le DINT ne fait toujours pas valoir qu'une autorisation hors zone à bâtir aurait été requise. Il allègue en revanche que l'arrêt attaqué viole l' art. 75 Cst. , l' art. 15 LAT ainsi que les compétences cantonales, "en rendant constructible une zone pourtant inconstructible", ce qui est contradictoire. Cela étant, si d'importantes restrictions de bâtir grèvent les parcelles affectées en zone de dégagement, il apparaît que celles-ci sont construites. Au demeurant, la zone de dégagement B autorise, à certaines conditions, la construction de garages souterrains. Au surplus, les parties se sont accordées, tout au long de la procédure, sur le fait que cette zone n'était pas inconstructible, les terrains en cause n'étant pas situés hors zone à bâtir. Le présent litige porte uniquement sur les problématiques de la conformité de la construction à l'affectation de la zone (constructible) et de l'admissibilité d'une dérogation aux règles de police des constructions applicables. Il n'y va pas du principe de la séparation du bâti et du non bâti, aspect sur lequel le canton a exercé son contrôle lors de l'adoption du plan d'affectation et, partant, le litige ne porte pas sur une construction hors zone à bâtir au sens de l'art. 34 al. 2 let. b ou c LAT.</w:t>
      </w:r>
    </w:p>
    <w:p>
      <w:r>
        <w:rPr>
          <w:b/>
        </w:rPr>
        <w:t>E. 2</w:t>
      </w:r>
    </w:p>
    <w:p>
      <w:r>
        <w:t>Il résulte de ce qui précède que le recours doit être déclaré irrecevable. Le canton, qui succombe, versera une indemnité de dépens à l'intimé A.________, qui obtient gain de cause avec l'assistance d'un avocat ( art. 68 al. 2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