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1C_410/2020 vom 16. Juli 2020</w:t>
      </w:r>
    </w:p>
    <w:p>
      <w:r>
        <w:t>Bundesgericht, 2020-07-16, DE</w:t>
      </w:r>
    </w:p>
    <w:p>
      <w:r>
        <w:rPr>
          <w:b/>
        </w:rPr>
        <w:t xml:space="preserve">Quelle: </w:t>
      </w:r>
      <w:r>
        <w:t>https://mcp.opencaselaw.ch/entscheid/bger_1C_410_2020</w:t>
      </w:r>
    </w:p>
    <w:p>
      <w:r>
        <w:t>FR: TF 1C_410/2020 du 16 juillet 2020</w:t>
      </w:r>
    </w:p>
    <w:p>
      <w:r>
        <w:t>IT: TF 1C_410/2020 del 16 luglio 2020</w:t>
      </w:r>
    </w:p>
    <w:p>
      <w:pPr>
        <w:pStyle w:val="Heading2"/>
      </w:pPr>
      <w:r>
        <w:t>Erwägungen</w:t>
      </w:r>
    </w:p>
    <w:p>
      <w:r>
        <w:rPr>
          <w:b/>
        </w:rPr>
        <w:t>E. 1</w:t>
      </w:r>
    </w:p>
    <w:p>
      <w:r>
        <w:t>Mit Eingabe an den Gemeinderat Amlikon-Bissegg hat A.________ Einsprache erhoben gegen den Beschluss des Regierungsrats des Kantons Thurgau vom 12. Mai 2020 betreffend die Kleinsiedlungsverordnung.</w:t>
      </w:r>
    </w:p>
    <w:p>
      <w:r>
        <w:t>Diese Eingabe wurde über das Departement für Bau und Umwelt des Kantons Thurgau zuständigkeitshalber dem Bundesgericht überwiesen.</w:t>
      </w:r>
    </w:p>
    <w:p>
      <w:r>
        <w:t>Vernehmlassungen wurden keine eingeholt.</w:t>
      </w:r>
    </w:p>
    <w:p>
      <w:r>
        <w:rPr>
          <w:b/>
        </w:rPr>
        <w:t>E. 2</w:t>
      </w:r>
    </w:p>
    <w:p>
      <w:r>
        <w:t>Gegen den kantonal letztinstanzlichen Beschluss des Regierungsrates vom 12. Mai 2020 ist die Beschwerde in öffentlich-rechtlichen Angelegenheiten zulässig. Die "Einsprache" ist daher als solche entgegenzunehmen.</w:t>
      </w:r>
    </w:p>
    <w:p>
      <w:r>
        <w:t>In der Beschwerde muss allerdings sowohl dargelegt werden,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begründet nicht, weshalb der angefochtene Beschluss Bundesrecht verletzen soll, und das ist auch nicht ersichtlich. Auf die Beschwerde ist daher wegen Verletzung der gesetzlichen Begründungspflicht nicht einzutreten, und zwar, weil der Mangel offensichtlich ist, im vereinfachten Verfahren. Von der Erhebung von Gerichtskosten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