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40/2024 vom 22. Januar 2024</w:t>
      </w:r>
    </w:p>
    <w:p>
      <w:r>
        <w:t>Bundesgericht, 2024-01-22, DE</w:t>
      </w:r>
    </w:p>
    <w:p>
      <w:r>
        <w:rPr>
          <w:b/>
        </w:rPr>
        <w:t xml:space="preserve">Quelle: </w:t>
      </w:r>
      <w:r>
        <w:t>https://mcp.opencaselaw.ch/entscheid/bger_1C_40_2024</w:t>
      </w:r>
    </w:p>
    <w:p>
      <w:r>
        <w:t>FR: TF 1C 40/2024 du 22 janvier 2024</w:t>
      </w:r>
    </w:p>
    <w:p>
      <w:r>
        <w:t>IT: TF 1C 40/2024 del 22 gennaio 2024</w:t>
      </w:r>
    </w:p>
    <w:p>
      <w:pPr>
        <w:pStyle w:val="Heading2"/>
      </w:pPr>
      <w:r>
        <w:t>Regeste</w:t>
      </w:r>
    </w:p>
    <w:p>
      <w:r>
        <w:t>Internationale Rechtshilfe in Strafsachen an die Ukraine; Teilnahme am Verfahren, vorsorgliche Massnahmen | Rechtshilfe und Auslieferung</w:t>
      </w:r>
    </w:p>
    <w:p>
      <w:pPr>
        <w:pStyle w:val="Heading2"/>
      </w:pPr>
      <w:r>
        <w:t>Erwägungen</w:t>
      </w:r>
    </w:p>
    <w:p>
      <w:r>
        <w:rPr>
          <w:b/>
        </w:rPr>
        <w:t>E. 1</w:t>
      </w:r>
    </w:p>
    <w:p>
      <w:r>
        <w:t>Das Verfahren wird praxisgemäss in der Sprache des angefochtenen Entscheids geführt ( Art. 54 Abs. 1 BGG ), vorliegend also auf deutsch. Der Beschwerdeführer, dessen Eingabe ans Bundesgericht auf französisch verfasst ist, macht nicht geltend, dadurch einen Nachteil zu erleiden.</w:t>
      </w:r>
    </w:p>
    <w:p>
      <w:r>
        <w:rPr>
          <w:b/>
        </w:rPr>
        <w:t>E. 2</w:t>
      </w:r>
    </w:p>
    <w:p>
      <w:r>
        <w:t>Der angefochtene Entscheid der Beschwerdekammer des Bundesstrafgerichts, einer Vorinstanz des Bundesgerichts gemäss Art. 86 Abs. 1 lit. b BGG , spricht dem Beschwerdeführer die Parteistellung im Rechtshilfeverfahren RH.23.0088 ab. Dieser Entscheid ist als Endentscheid ( Art. 90 BGG ) bzw. Teilendentscheid zu qualifizieren ( Art. 91 lit. b BGG ). Der Beschwerdeführer ist befugt, dagegen Beschwerde zu führen ( Art. 89 Abs. 1 BGG ). Die Beschwerdefrist wurde eingehalten ( Art. 100 Abs. 2 lit. b BGG i.V.m. Art. 44 f. BGG). Die Beschwerde auf dem Gebiet der internationalen Rechtshilfe in Strafsachen ist allerdings nur zulässig, wenn diese eine Auslieferung, eine Beschlagnahme, eine Herausgabe von Gegenständen oder Vermögenswerten oder eine Übermittlung von Informationen aus dem Geheimbereich betrifft und es sich um einen besonders bedeutenden Fall handelt ( Art. 84 BGG ).</w:t>
      </w:r>
    </w:p>
    <w:p>
      <w:r>
        <w:rPr>
          <w:b/>
        </w:rPr>
        <w:t>E. 3</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 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2 018, Art. 84 N. 31).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FORSTER, a.a.O., Art. 84 N. 33).</w:t>
      </w:r>
    </w:p>
    <w:p>
      <w:r>
        <w:rPr>
          <w:b/>
        </w:rPr>
        <w:t>E. 4</w:t>
      </w:r>
    </w:p>
    <w:p>
      <w:r>
        <w:t>Der Beschwerdeführer macht geltend, die ukrainische Strafuntersuchung verletze elementare Verfahrensgrundsätze, namentlich die Unschuldsvermutung, das Prinzip der Waffengleichheit, das rechtliche Gehör und das Recht auf ein unabhängiges und unparteiisches Gericht. Schon aus diesem Grund liege ein besonders bedeutender Fall vor. Hinzu komme, dass auch die Vorinstanz das rechtliche Gehör in schwerwiegender Weise verletzt habe: Diese habe sich damit begnügt, die Rechtsprechung zur Parteistellung des Beschuldigten nach Art. 21 Abs. 3 des Bundesgesetzes vom 20. März 1981 über internationale Rechtshilfe in Strafsachen (IRSG; SR 351.1) zusammenzufassen, ohne sich mit der Kritik des Beschwerdeführers an dieser Rechtsprechung auseinanderzusetzen. Schliesslich stelle sich in diesem Zusammenhang eine Rechtsfrage von grundsätzlicher Bedeutung: Die von der Vorinstanz zitierten Grundsatzentscheide BGE 137 IV 134 und BGE 124 II 180 beträfen die Beschwerdebefugnis von nicht unmittelbar und persönlich von den Rechtshilfemassnahmen betroffenen "Dritten". Ob diese Rechtsprechung auch auf die im ausländischen Strafverfahren beschuldigte Person anwendbar sei, sei vom Bundesgericht noch nie entschieden worden. Es wäre stossend, wenn auch die beschuldigte Person keine Möglichkeit hätte, sich der Übermittlung eines Einvernahmeprotokolls an den ersuchenden Staat unter Berufung auf Art. 2 IRSG zu widersetzen. Damit werde ihr die Möglichkeit abgeschnitten, sich wirksam zu verteidigen.</w:t>
      </w:r>
    </w:p>
    <w:p>
      <w:r>
        <w:rPr>
          <w:b/>
        </w:rPr>
        <w:t>E. 5</w:t>
      </w:r>
    </w:p>
    <w:p>
      <w:r>
        <w:t>Die Vorinstanz hat sich ausführlich zur Parteistellung des Beschwerdeführers geäussert. Es hat die gesetzliche Regelung dargelegt, wonach zur Beschwerde nur legitimiert ist, wer persönlich und direkt von einer Rechtshilfemassnahme betroffen ist ( Art. 80h lit. b IRSG ); dies gelte nach der ausdrücklichen gesetzlichen Regelung in Art. 21 Abs. 3 IRSG auch für Personen, gegen die sich das ausländische Strafverfahren richte. Es hat damit klar zum Ausdruck gebracht, dass von Gesetzes wegen kein Spielraum bestehe, um eine weitergehende Parteistellung der beschuldigen Person im Rechtshilfeverfahren anzuerkennen, wie dies dem Beschwerdeführer vorschwebt. Eine Verletzung des rechtlichen Gehörs liegt nicht vor. Entgegen der Auffassung des Beschwerdeführers stellt sich auch keine Rechtsfrage von grundsätzlicher Bedeutung. Zwar betreffen die Urteile BGE 137 IV 134 und BGE 124 II 180 die Beschwerdebefugnis von "Dritten" gegen die Übermittlung von Einvernahmeprotokollen. Aus Art. 21 Abs. 3 IRSG ergibt sich jedoch, dass diese Rechtsprechung auch auf die im ausländischen Strafverfahren beschuldigte Person anwendbar ist, die nur mittelbar von der Rechtshilfemassnahme betroffen ist, d.h. weder selbst einvernommen wird noch sich als Kontoinhaberin gegen die Übermittlung von Informationen über ihre Bankkonten wehrt. Dies wurde bereits im Urteil 1A.313/1997 vom 27. Februar 1998 (E. 2) ausdrücklich festgehalten. Das Bundesgericht bestätigte diese Rechtsprechung jüngst im Urteil 1C_626/2023 vom 28. November 2023 (ebenfalls betreffend das Rechtshilfeverfahren RH.23.0088). Die damalige Beschwerdeführerin, Mitbeschuldigte im ukrainischen Strafverfahren Nr. 52016000000000380, verlangte die Gewährung der Parteistellung und des Akteneinsichtsrechts, um sich der Übermittlung des Protokolls der ergänzenden Einvernahme des Zeugen B.________ an die Ukraine zu widersetzen, unter Berufung auf Art. 2 IRSG . Das Bundesgericht verneinte einen besonders bedeutenden Fall und trat auf die Beschwerde nicht ein, weil sich die Auslegung von Art. 21 Abs. 3 und Art. 80h lit. b IRSG durch die Vorinstanz auf den Gesetzeswortlaut, die Botschaft zur Änderung des Rechtshilfegesetzes vom 29. März 1995, die ständige Rechtsprechung des Bundesgerichts und die herrschende Lehre stützen könne (vgl. E. 4.1). Zwar werde in der Literatur z.T. eine Anpassung von Art. 21 Abs. 3 IRSG verlangt, um die Parteistellung des Beschuldigten im Rechtshilfeverfahren auszuweiten. Daraus ergebe sich jedoch kein Überprüfungsbedarf für die bundesgerichtliche Praxis, welche sich auf die geltende Fassung von Art. 21 Abs. 3 IRSG stütze und, wie aufgezeigt, den gesetzgeberischen Intentionen entspreche. Komme der Beschwerdeführerin keine Parteistellung zu, so könne sie auch nicht geltend machen, die Rechtshilfe müsse wegen der Verletzung elementarer Verfahrensgrundsätze im ukrainischen Strafverfahren verweigert werden (zitierter Entscheid, E. 4.2). Dasselbe gilt im vorliegenden Verfahren.</w:t>
      </w:r>
    </w:p>
    <w:p>
      <w:r>
        <w:rPr>
          <w:b/>
        </w:rPr>
        <w:t>E. 6</w:t>
      </w:r>
    </w:p>
    <w:p>
      <w:r>
        <w:t>Liegt kein besonders bedeutsamer Fall vor, so ist auf die Beschwerde nicht einzutreten. Damit werden die Gesuche um vorsorgliche Massnahmen gegenstandslos. Bei diesem Ausgang des Verfahrens wird der Beschwerdeführer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