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408/2022 vom 29. Dezember 2022</w:t>
      </w:r>
    </w:p>
    <w:p>
      <w:r>
        <w:t>Bundesgericht, 2022-12-29, FR</w:t>
      </w:r>
    </w:p>
    <w:p>
      <w:r>
        <w:rPr>
          <w:b/>
        </w:rPr>
        <w:t xml:space="preserve">Quelle: </w:t>
      </w:r>
      <w:r>
        <w:t>https://mcp.opencaselaw.ch/entscheid/bger_1C_408_2022</w:t>
      </w:r>
    </w:p>
    <w:p>
      <w:r>
        <w:t>FR: TF 1C 408/2022 du 29 décembre 2022</w:t>
      </w:r>
    </w:p>
    <w:p>
      <w:r>
        <w:t>IT: TF 1C 408/2022 del 29 dicembre 2022</w:t>
      </w:r>
    </w:p>
    <w:p>
      <w:pPr>
        <w:pStyle w:val="Heading2"/>
      </w:pPr>
      <w:r>
        <w:t>Regeste</w:t>
      </w:r>
    </w:p>
    <w:p>
      <w:r>
        <w:t>Ordre de remise en état | Aménagement du territoire et droit public des constructions</w:t>
      </w:r>
    </w:p>
    <w:p>
      <w:pPr>
        <w:pStyle w:val="Heading2"/>
      </w:pPr>
      <w:r>
        <w:t>Erwägungen</w:t>
      </w:r>
    </w:p>
    <w:p>
      <w:r>
        <w:rPr>
          <w:b/>
        </w:rPr>
        <w:t>E. 1</w:t>
      </w:r>
    </w:p>
    <w:p>
      <w:r>
        <w:t>Dirigé contre une décision rendue en dernière instance cantonale dans le domaine du droit public de la police des constructions, le recours est en principe recevable comme recours en matière de droit public conformément aux art. 82 ss LTF , aucune des exceptions prévues à l' art. 83 LTF n'étant réalisée. Les recourants ont pris part à la procédure de recours devant l'instance précédente. Ils sont particulièrement touchés par l'arrêt attaqué, qui confirme l'ordre de remise en état des lieux du 14 mai 2020 et le refus de régularisation de leur couvert à voitures du 27 janvier 2021; ils bénéficient à ce titre d'un intérêt digne de protection à l'annulation de l'arrêt entrepris. La qualité pour recourir selon l' art. 89 al. 1 LTF doit leur être reconnue.</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doit exister un lien entre la motivation du recours et la décision litigieuse ( ATF 142 I 99 consid. 1.7.1). Il faut encore qu'à la lecture du recours on comprenne clairement quelles règles de droit auraient été transgressées par l'autorité cantonale ( ATF 140 III 86 consid. 2 et les références). Selon l' art. 106 al. 1 LTF , le Tribunal fédéral applique le droit d'office; il n'examine cependant la violation de droits fondamentaux que si ce grief a été invoqué et motivé par la partie recourante (cf. art. 106 al. 2 LTF ), c'est-à-dire s'il a été expressément soulevé et exposé de façon claire et détaillée ( ATF 142 III 364 consid. 2.4; 141 I 36 consid. 1.3; 135 III 232 consid. 1.2).</w:t>
      </w:r>
    </w:p>
    <w:p>
      <w:r>
        <w:rPr>
          <w:b/>
        </w:rPr>
        <w:t>E. 2.1</w:t>
      </w:r>
    </w:p>
    <w:p>
      <w:r>
        <w:t>Dans l'arrêt querellé, la cour cantonale a constaté que la condition formelle de la signature par la propriétaire de la parcelle concernée de la demande d'autorisation du 20 juillet 2020 n'était pas remplie: la signature avait en réalité été apposée par B.________. La propriétaire de la parcelle pourvue du couvert à voitures n'avait pas non plus manifesté son accord avec la régularisation de la construction non conforme à la zone, ce qui avait conduit le TAPI a déclarer irrecevable la demande d'autorisation de construire. Les juges cantonaux se sont ensuite fondés sur la jurisprudence cantonale qui retient que le retrait de l'accord des copropriétaires en cours de procédure entraîne le défaut d'une condition nécessaire au dépôt d'une requête en autorisation de construire. Ils ont considéré qu'il en allait ainsi à plus forte raison en cas d'absence de tout accord dès l'origine. Dès lors, la décision de refuser de ratifier la construction litigieuse pouvait être confirmée, sans qu'il y ait lieu d'entrer en matière sur les griefs de fond soulevés par les recourants. A titre superfétatoire, ceux-ci ont cependant été examinés par la cour cantonale pour arriver à la conclusion que la construction litigieuse, non conforme à la zone, ne pouvait faire l'objet d'aucune dérogation et que le principe de la proportionnalité était respecté.</w:t>
      </w:r>
    </w:p>
    <w:p>
      <w:r>
        <w:rPr>
          <w:b/>
        </w:rPr>
        <w:t>E. 2.2</w:t>
      </w:r>
    </w:p>
    <w:p>
      <w:r>
        <w:t>Devant le Tribunal fédéral, comme devant la cour cantonale d'ailleurs, les recourants ne contestent pas que la requête tendant à régulariser la construction litigieuse n'a pas été signée par la propriétaire de la parcelle concernée. Dans leur recours fédéral, ils ne critiquent pas non plus la conclusion juridique à laquelle sont parvenus, sur la base du droit cantonal, les juges cantonaux, à savoir l'irrecevabilité d'une telle demande d'autorisation de construire déposée sans la signature ni l'accord du propriétaire du fonds concerné. S'agissant d'une question de procédure soumise au droit cantonal, il appartenait aux recourants de démontrer l'arbitraire de la solution cantonale ( art. 106 al. 2 LTF ; cf. ATF 142 II 369 consid. 2.1) ou sa contrariété au droit fédéral. Or, ceux-ci n'émettent aucune critique à l'encontre du raisonnement juridique développé par la cour cantonale en relation avec l'irrecevabilité de la demande de régularisation de la construction litigieuse. Leurs seules critiques sont dirigées contre le raisonnement au fond de l'arrêt attaqué et se limitent à opposer leur point de vue à celui des juges cantonaux, dans un style purement appellatoire, voire sous forme interrogative. Une telle manière procéder, en présence d'une décision cantonale amplement motivée tant sur la recevabilité que le fond, n'est pas conforme aux règles élémentaires de la procédure devant le Tribunal fédéral.</w:t>
      </w:r>
    </w:p>
    <w:p>
      <w:r>
        <w:rPr>
          <w:b/>
        </w:rPr>
        <w:t>E. 2.3</w:t>
      </w:r>
    </w:p>
    <w:p>
      <w:r>
        <w:t>Le recours doit par conséquent être déclaré irrecevable avec suite de frais à la charge de ses auteurs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