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1C_408/2007 vom 21. Dezember 2007</w:t>
      </w:r>
    </w:p>
    <w:p>
      <w:r>
        <w:t>Bundesgericht, 2007-12-21, DE</w:t>
      </w:r>
    </w:p>
    <w:p>
      <w:r>
        <w:rPr>
          <w:b/>
        </w:rPr>
        <w:t xml:space="preserve">Quelle: </w:t>
      </w:r>
      <w:r>
        <w:t>https://mcp.opencaselaw.ch/entscheid/bger_1C_408_2007</w:t>
      </w:r>
    </w:p>
    <w:p>
      <w:r>
        <w:t>FR: TF 1C_408/2007 du 21 décembre 2007</w:t>
      </w:r>
    </w:p>
    <w:p>
      <w:r>
        <w:t>IT: TF 1C_408/2007 del 21 dicembre 2007</w:t>
      </w:r>
    </w:p>
    <w:p>
      <w:pPr>
        <w:pStyle w:val="Heading2"/>
      </w:pPr>
      <w:r>
        <w:t>Erwägungen</w:t>
      </w:r>
    </w:p>
    <w:p>
      <w:r>
        <w:rPr>
          <w:b/>
        </w:rPr>
        <w:t>E. 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133 IV 131 E. 3 S. 132; 133 IV 132 E. 1.3 S. 134; 133 IV 271 E. 2.2.2 S. 274). Bei der Beantwortung der Frage, ob ein besonders bedeutender Fall gegeben ist, steht dem Bundesgericht ein weiter Ermessensspielraum zu (Urteil 1C_138/2007 vom 17. Juli 2007 E. 2.1,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2.1</w:t>
      </w:r>
    </w:p>
    <w:p>
      <w:r>
        <w:t>Im vorliegenden Fall geht es um eine Auslieferung und damit um ein Sachgebiet, bei dem die Beschwerde in öffentlich-rechtlichen Angelegenheiten nach Art. 84 Abs. 1 BGG insoweit zulässig ist. Es stellt sich die Frage, ob ein besonders bedeutender Fall gegeben sei.</w:t>
      </w:r>
    </w:p>
    <w:p>
      <w:r>
        <w:t>Ein derartiger Fall kann auch bei einer Auslieferung nur ausnahmsweise angenommen werden. In der Regel stellen sich insoweit keine Rechtsfragen, die der Klärung durch das Bundesgericht bedürfen, und kommt den Fällen auch sonst wie keine besondere Tragweite zu.</w:t>
      </w:r>
    </w:p>
    <w:p>
      <w:r>
        <w:rPr>
          <w:b/>
        </w:rPr>
        <w:t>E. 2.2</w:t>
      </w:r>
    </w:p>
    <w:p>
      <w:r>
        <w:t>Der Beschwerdeführer bringt (S. 7 ff.) vor, bei einer Auslieferung wären seine Menschenrechte in Gefahr. Er sei als Informant für die US-amerikanischen Behörden tätig gewesen. Dies müsste in der Haft in den USA unweigerlich bekannt werden. Damit bestünde für ihn Todesgefahr, da sich die Verratenen an ihm rächen bzw. andere damit beauftragen könnten.</w:t>
      </w:r>
    </w:p>
    <w:p>
      <w:r>
        <w:t>Damit hat sich bereits die Vorinstanz befasst. Sie erwägt insbesondere, die USA hätten, wenn auch mit gewissen Vorbehalten und Erklärungen, den UNO-Pakt II ratifiziert, welcher mit der EMRK vergleichbare Garantien enthalte. Nach dem im internationalen Rechtshilfeverkehr geltenden Vertrauensprinzip werde das völkerrechtskonforme Verhalten von Staaten, die wie die USA mit der Schweiz durch einen Rechtshilfevertrag verbunden seien, vermutet, ohne dass die Einholung ausdrücklicher Zusicherungen notwendig sei. Vorliegend bestünden zudem keine Anhaltspunkt dafür, dass die USA für die Sicherheit des Beschwerdeführers in den amerikanischen Gefängnissen nicht in ausreichendem Masse besorgt sein werden, so dass dieser einer unmenschlichen und erniedrigengen Behandlung durch seine Mitinsassen ausgesetzt wäre. Die Tatsache, dass die rigorose Bekämpfung des internationalen Terrorismus durch die USA seit einiger Zeit Gegenstand internationaler Kritik bilde, stehe mit der vorliegend zu beurteilenden Auslieferung in keinem Zusammenhang und rechtfertige daher ebenfalls keine Abkehr vom völkerrechtlichen Vertrauensprinzip (E. 4.3). Die Auslieferung sei danach zulässig, ohne dass Zusicherungen erforderlich wären (E. 5).</w:t>
      </w:r>
    </w:p>
    <w:p>
      <w:r>
        <w:t>Diese Erwägungen sind nicht zu beanstanden. Sie stützen sich auf die bundesgerichtliche Rechtsprechung, auf die zurückzukommen kein Anlass besteht. Der Beschwerdeführer weist im Übrigen selber darauf hin, dass in den USA eine besondere Vollzugsform für gefährdete Gefangene besteht. Es ist davon auszugehen, dass die zuständigen Behörden der USA die notwendigen Vorkehren treffen werden, falls der Beschwerdeführer im US-amerikanischen Untersuchungshaft- oder Strafvollzug tatsächlich einer besonderen Gefahr ausgesetzt sein sollte.</w:t>
      </w:r>
    </w:p>
    <w:p>
      <w:r>
        <w:t>Kann danach nicht angenommen werden, dass für den Beschwerdeführer in den USA die ernstliche Gefahr einer menschenrechtswidrigen Behandlung besteht, ist insoweit ein besonders bedeutender Fall zu verneinen.</w:t>
      </w:r>
    </w:p>
    <w:p>
      <w:r>
        <w:rPr>
          <w:b/>
        </w:rPr>
        <w:t>E. 2.3</w:t>
      </w:r>
    </w:p>
    <w:p>
      <w:r>
        <w:t>Was der Beschwerdeführer (S. 21 ff.) weiter vorbringt, ist ebenfalls nicht geeignet, die besondere Bedeutung des vorliegenden Falles im Sinne von Art. 84 BGG darzutun.</w:t>
      </w:r>
    </w:p>
    <w:p>
      <w:r>
        <w:t>Es bestehen keine konkreten Anzeichen dafür, dass der Prozess gegen den Beschwerdeführer in den USA unfair sein wird. Was dieser insoweit vorbringt, beschränkt sich - wie er (S. 21 Ziff. 72) selber einräumt - auf blosse Spekulation.</w:t>
      </w:r>
    </w:p>
    <w:p>
      <w:r>
        <w:t>Die Vorinstanz kommt (E. 3.6) zum Schluss, für die Behauptung des Beschwerdeführers, die US-amerikanischen Haftbefehle und das Auslieferungsersuchen seien politisch motiviert, bestehe kein Raum. Der angefochtene Entscheid ist auch insoweit nicht zu beanstanden, weshalb erneut kein Grund dafür besteht, den vorliegenden Fall als besonders bedeutend einzustufen.</w:t>
      </w:r>
    </w:p>
    <w:p>
      <w:r>
        <w:t>Der richterliche Rechtsschutz wurde dem Beschwerdeführer bereits durch die Vorinstanz gewährt. Insoweit ist es nicht notwendig, dass auch noch das Bundesgericht die Sache an die Hand nimmt. Der Beschwerdeführer geht im Übrigen fehl, wenn er annimmt, bei einer Auslieferung stehe die Beschwerde an das Bundesgericht stets offen. Diese Auffassung steht mit Art. 84 Abs. 1 BGG in Widerspruch. Danach ist die Beschwerde in öffentlich-rechtlichen Angelegenheiten nur zulässig, wenn es unter anderem um eine Auslieferung geht und ein besonders bedeutender Fall vorliegt.</w:t>
      </w:r>
    </w:p>
    <w:p>
      <w:r>
        <w:t>An dieser letzteren Voraussetzung fehlt es hier nach dem Gesagten.</w:t>
      </w:r>
    </w:p>
    <w:p>
      <w:r>
        <w:rPr>
          <w:b/>
        </w:rPr>
        <w:t>E. 3</w:t>
      </w:r>
    </w:p>
    <w:p>
      <w:r>
        <w:t>Auf die Beschwerde wird deshalb nicht eingetreten.</w:t>
      </w:r>
    </w:p>
    <w:p>
      <w:r>
        <w:t>Der Antrag auf Einräumung einer Nachfrist zur Ergänzung der Beschwerdebegründung nach Art. 43 BGG ist damit hinfällig.</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