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407/2022 vom 16. November 2023</w:t>
      </w:r>
    </w:p>
    <w:p>
      <w:r>
        <w:t>Bundesgericht, 2023-11-16, FR</w:t>
      </w:r>
    </w:p>
    <w:p>
      <w:r>
        <w:rPr>
          <w:b/>
        </w:rPr>
        <w:t xml:space="preserve">Quelle: </w:t>
      </w:r>
      <w:r>
        <w:t>https://mcp.opencaselaw.ch/entscheid/bger_1C_407_2022</w:t>
      </w:r>
    </w:p>
    <w:p>
      <w:r>
        <w:t>FR: TF 1C 407/2022 du 16 novembre 2023</w:t>
      </w:r>
    </w:p>
    <w:p>
      <w:r>
        <w:t>IT: TF 1C 407/2022 del 16 novembre 2023</w:t>
      </w:r>
    </w:p>
    <w:p>
      <w:pPr>
        <w:pStyle w:val="Heading2"/>
      </w:pPr>
      <w:r>
        <w:t>Regeste</w:t>
      </w:r>
    </w:p>
    <w:p>
      <w:r>
        <w:t>Amende administrative | Procédure administrative</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 recourant a pris part à la procédure devant la Cour de justice. En tant que destinataire du prononcé d'amende administrative, le recourant est particulièrement touché par l'arrêt attaqué et peut ainsi se prévaloir d'un intérêt digne de protection à l'annulation de l'arrêt attaqué. Il a dès lors qualité pour recourir au sens de l' art. 89 al. 1 LTF . Les autres conditions de recevabilité sont au surplus réunies, si bien qu'il y a lieu d'entrer en matière.</w:t>
      </w:r>
    </w:p>
    <w:p>
      <w:r>
        <w:rPr>
          <w:b/>
        </w:rPr>
        <w:t>E. 2</w:t>
      </w:r>
    </w:p>
    <w:p>
      <w:r>
        <w:t>Le recourant conteste l'amende dans son principe, invoquant une application arbitraire de l' art. 137 al. 1 let . c LCI. Il soutient en outre que le montant de l'amende (2'000 fr.) violerait le principe de la proportionnalité.</w:t>
      </w:r>
    </w:p>
    <w:p>
      <w:r>
        <w:rPr>
          <w:b/>
        </w:rPr>
        <w:t>E. 2.1</w:t>
      </w:r>
    </w:p>
    <w:p>
      <w:r>
        <w:t>Aux termes de l' art. 137 al. 1 let . c LCI, est passible d'une amende administrative de 100 fr. à 150'000 fr. tout contrevenant aux ordres donnés par le département dans les limites de la LCI et des règlements et arrêtés édictés en vertu de celle-ci. Le Tribunal fédéral ne revoit l'interprétation et l'application du droit cantonal que sous l'angle de l'arbitraire ( ATF 147 I 433 consid. 4.2; 146 II 367 consid. 3.1.5).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170 consid. 7.3; arrêt 1C_452/2020 du 23 mars 2021 consid. 4.1). Dans ce contexte, le recours est soumis aux exigences accrues de motivation de l' art. 106 al. 2 LTF ( ATF 149 III 81 consid. 1.3; 146 I 62 consid. 3).</w:t>
      </w:r>
    </w:p>
    <w:p>
      <w:r>
        <w:rPr>
          <w:b/>
        </w:rPr>
        <w:t>E. 2.2</w:t>
      </w:r>
    </w:p>
    <w:p>
      <w:r>
        <w:t>En l'occurrence, la Cour de justice a considéré que, compte tenu de la faute commise par le recourant qui ne s'était pas conformé à l'ordre donné le 26 juin 2020 par le département, ce dernier n'avait pas abusé de son large pouvoir d'appréciation en fixant l'amende à 2'000 fr.</w:t>
      </w:r>
    </w:p>
    <w:p>
      <w:r>
        <w:rPr>
          <w:b/>
        </w:rPr>
        <w:t>E. 2.3</w:t>
      </w:r>
    </w:p>
    <w:p>
      <w:r>
        <w:t>Le recourant critique cette appréciation. Il soutient qu'aucune faute ne peut être retenue à son encontre. Le recourant ne démontre toutefois pas, de manière conforme aux exigences de motivation accrues (cf. consid. 2.1 ci-dessus), en quoi l'application de cette disposition par l'instance précédente serait arbitraire. Quoi qu'il en soit, l'appréciation de la Cour de justice n'apparaît pas insoutenable. En effet, par décisions séparées du 18 mars 2019, entrées en force, le département a refusé au recourant l'autorisation complémentaire visant à la régularisation des travaux effectués sans autorisation et lui a ordonné de produire, par l'intermédiaire d'un MPQ, un dossier de plans-coupes-élévations strictement conformes à la réalité. Le 26 juin 2020, le département a renouvelé cet ordre de production d'un dossier de plans-coupes-élévations strictement conformes à la réalité, ordre auquel le recourant n'a pas donné suite. Dans ces conditions, la cour cantonale pouvait, sans verser dans l'arbitraire, considérer que le recourant avait contrevenu à un ordre du département et que l'amende était ainsi fondée dans son principe. Le recourant ne peut rien déduire de sa demande de reconsidération du 18 juin 2019 dès lors qu'il ne pouvait ignorer que le département avait refusé d'entrer en matière sur cette demande. En effet, l'ordre imparti au recourant, en date du 26 juin 2020, de déposer un nouveau dossier, était signé par le collaborateur qui l'avait reçu le 8 juillet 2019. Cela étant, sa demande de reconsidération ne l'exemptait pas de réagir à l'ordre du 26 juin 2020. Par ailleurs, le montant de 2'000 fr. n'apparaît pas non plus disproportionné, au vu des éléments mis en évidence par la Cour de justice et qui pouvaient être pris en considération, tels que la mesure de protection patrimoniale dont bénéficie l'immeuble en cause, la qualité de MPQ du recourant et les deux constats d'infractions portant sur des travaux (non couverts par l'autorisation initiale, dont notamment la création de deux terrasses en toiture) qui paraissent, au vu des photographies présentes au dossier, revêtir une certaine envergure. Comme retenu par l'instance précédente, le quantum de l'amende se situe dans le bas de la fourchette autorisée par la loi cantonale, à savoir dans le cas présent un plafond de 150'000 fr. Le recourant n'invoque pas d'éléments particuliers qui mettraient en évidence que le montant de l'amende serait inadapté. Contrairement à ce qu'affirme le recourant, la cour cantonale a tenu compte de toutes les circonstances de l'affaire. Par conséquent, les griefs du recourant doivent être rejetés, dans la mesure où ils sont recevables.</w:t>
      </w:r>
    </w:p>
    <w:p>
      <w:r>
        <w:rPr>
          <w:b/>
        </w:rPr>
        <w:t>E. 3</w:t>
      </w:r>
    </w:p>
    <w:p>
      <w:r>
        <w:t>Enfin, le recourant fait valoir une violation du principe de la bonne foi.</w:t>
      </w:r>
    </w:p>
    <w:p>
      <w:r>
        <w:rPr>
          <w:b/>
        </w:rPr>
        <w:t>E. 3.1</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celles-ci.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l'application correcte du droit n'apparaisse pas prépondérant ( ATF 143 V 95 consid. 3.6). Conformément à l' art. 106 al. 2 LTF , les griefs de violation des droits fondamentaux sont soumis à des exigences de motivation accrues. La partie recourante doit alors indiquer les principes constitutionnels qui n'auraient pas été respectés et expliquer de manière claire et précise en quoi ces principes auraient été violés (cf. ATF 136 II 489 consid. 2.8; 133 IV 286 consid. 1.4).</w:t>
      </w:r>
    </w:p>
    <w:p>
      <w:r>
        <w:rPr>
          <w:b/>
        </w:rPr>
        <w:t>E. 3.2</w:t>
      </w:r>
    </w:p>
    <w:p>
      <w:r>
        <w:t>Le recourant invoque le principe de la protection de la bonne foi, sans toutefois exposer ni motiver précisément en quoi toutes les conditions cumulatives développées par la jurisprudence et exposées ci-dessus seraient remplies in casu. Le grief du recourant ne répond ainsi manifestement pas aux exigences de motivation accrues de l' art. 106 al. 2 LTF et n'a pas à être traité. Par ailleurs, vu les décisions claires du département des 18 mars 2019 et 26 juin 2020 auxquelles le recourant n'a pas donné suite, ce dernier ne peut pas prétendre qu'il avait cru de bonne foi ne plus avoir d'obligation à remplir.</w:t>
      </w:r>
    </w:p>
    <w:p>
      <w:r>
        <w:rPr>
          <w:b/>
        </w:rPr>
        <w:t>E. 4</w:t>
      </w:r>
    </w:p>
    <w:p>
      <w:r>
        <w:t>Le recours doit être rejeté dans la mesure où il est recevable. Conformément à l' art. 66 al. 1 LTF , les frais judiciaires sont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