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 404/2025 vom 29. Juli 2025</w:t>
      </w:r>
    </w:p>
    <w:p>
      <w:r>
        <w:t>Bundesgericht, 2025-07-29, DE</w:t>
      </w:r>
    </w:p>
    <w:p>
      <w:r>
        <w:rPr>
          <w:b/>
        </w:rPr>
        <w:t xml:space="preserve">Quelle: </w:t>
      </w:r>
      <w:r>
        <w:t>https://mcp.opencaselaw.ch/entscheid/bger_1C_404_2025</w:t>
      </w:r>
    </w:p>
    <w:p>
      <w:r>
        <w:t>FR: TF 1C 404/2025 du 29 juillet 2025</w:t>
      </w:r>
    </w:p>
    <w:p>
      <w:r>
        <w:t>IT: TF 1C 404/2025 del 29 luglio 2025</w:t>
      </w:r>
    </w:p>
    <w:p>
      <w:pPr>
        <w:pStyle w:val="Heading2"/>
      </w:pPr>
      <w:r>
        <w:t>Regeste</w:t>
      </w:r>
    </w:p>
    <w:p>
      <w:r>
        <w:t>Verkehrsmedizinische Untersuchung | Strassenbau und Strassenverkehr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Angefochten ist ein kantonal letztinstanzlicher Entscheid ( Art. 86 Abs. 1 lit. d BGG ) über die Anordnung einer Fahreignungsprüfung, d.h. eine öffentlich-rechtliche Angelegenheit ( Art. 82 lit. a BGG ). Näher zu prüfen ist die Beschwerdebefugnis der VRK.</w:t>
      </w:r>
    </w:p>
    <w:p>
      <w:r>
        <w:rPr>
          <w:b/>
        </w:rPr>
        <w:t>E. 1.1</w:t>
      </w:r>
    </w:p>
    <w:p>
      <w:r>
        <w:t>Die VRK ist eine kantonale Behörde ohne eigene Rechtspersönlichkeit und als solche weder partei- noch prozessfähig (BERNHARD WALDMANN, in: Basler Kommentar zum BGG, 3. Auflage, 2018, N. 40 zu Art. 89 BGG ). Nur das Gemeinwesen als solches ist gestützt auf die Generalklausel von Art. 89 Abs. 1 BGG zur Beschwerde an das Bundesgericht legitimiert ( BGE 141 I 253 E. 3.2 mit Hinweisen; Urteil 1C_66/2024 vom 31. Oktober 2024 E. 1.3). Eine Ermächtigung der VRK, im Namen des Kantons zu prozessieren, liegt nicht vor.</w:t>
      </w:r>
    </w:p>
    <w:p>
      <w:r>
        <w:rPr>
          <w:b/>
        </w:rPr>
        <w:t>E. 1.2</w:t>
      </w:r>
    </w:p>
    <w:p>
      <w:r>
        <w:t>Im Übrigen verschafft nach konstanter bundesgerichtlicher Rechtsprechung das allgemeine Interesse an der richtigen Rechtsanwendung keine Beschwerdebefugnis im Sinne von Art. 89 Abs. 1 BGG . Insbesondere ist die im Rechtsmittelverfahren unterlegene Vorinstanz nicht berechtigt, gegen den sie desavouierenden Entscheid an das Bundesgericht zu gelangen (vgl. BGE 141 II 161 E. 2.1; 140 V 321 E. 2.1.1 mit Hinweisen). Eine spezielle Legitimation im Sinne von Art. 89 Abs. 2 BGG ist weder angerufen noch erkennbar.</w:t>
      </w:r>
    </w:p>
    <w:p>
      <w:r>
        <w:rPr>
          <w:b/>
        </w:rPr>
        <w:t>E. 2</w:t>
      </w:r>
    </w:p>
    <w:p>
      <w:r>
        <w:t>Nach dem Gesagten ist die Beschwerde offensichtlich unzulässig, weshalb auf sie im vereinfachten Verfahren gemäss Art. 108 BGG nicht einzutreten ist. Auf die Erhebung von Kosten wird verzichtet ( Art. 66 Abs. 4 BGG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