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1C_404/2018 vom 30. August 2018</w:t>
      </w:r>
    </w:p>
    <w:p>
      <w:r>
        <w:t>Bundesgericht, 2018-08-30, FR</w:t>
      </w:r>
    </w:p>
    <w:p>
      <w:r>
        <w:rPr>
          <w:b/>
        </w:rPr>
        <w:t xml:space="preserve">Quelle: </w:t>
      </w:r>
      <w:r>
        <w:t>https://mcp.opencaselaw.ch/entscheid/bger_1C_404_2018</w:t>
      </w:r>
    </w:p>
    <w:p>
      <w:r>
        <w:t>FR: TF 1C_404/2018 du 30 août 2018</w:t>
      </w:r>
    </w:p>
    <w:p>
      <w:r>
        <w:t>IT: TF 1C_404/2018 del 30 agosto 2018</w:t>
      </w:r>
    </w:p>
    <w:p>
      <w:pPr>
        <w:pStyle w:val="Heading2"/>
      </w:pPr>
      <w:r>
        <w:t>Erwägungen</w:t>
      </w:r>
    </w:p>
    <w:p>
      <w:r>
        <w:rPr>
          <w:b/>
        </w:rPr>
        <w:t>E. 1</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w:t>
      </w:r>
    </w:p>
    <w:p>
      <w:r>
        <w:t>Dans le domaine de l'extradition également,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w:t>
      </w:r>
    </w:p>
    <w:p>
      <w:r>
        <w:rPr>
          <w:b/>
        </w:rPr>
        <w:t>E. 1.1</w:t>
      </w:r>
    </w:p>
    <w:p>
      <w:r>
        <w:t>La recourante estime qu'il y aurait lieu de tenir compte du délai de prescription selon le droit de l'Etat requérant lorsque que celui-ci est plus court qu'en droit suisse. Dans ce cas, la personne recherchée ne chercherait pas à profiter des règles plus favorables du droit suisse. En outre, la prescription serait de toute façon acquise selon le droit suédois. On ne saurait y voir une question de principe. Le texte clair de l' art. 5 al. 1 let . c EIMP ne vise en effet que la prescription selon le droit suisse. Conformément au principe de faveur applicable en matière de collaboration internationale ( ATF 131 II 132 consid. 2.4 p. 135), il ne permet donc pas de tenir compte de la prescription selon le droit de l'Etat requérant, cette question étant laissée à l'appréciation du juge étranger (arrêt 1A. 15/2002 du 5 mars 2002 consid. 5.1; ZIMMERMANN, La coopération judiciaire en matière pénale, 4</w:t>
      </w:r>
    </w:p>
    <w:p>
      <w:r>
        <w:t>ème éd. Berne 2014 n° 672 p. 689). Il n'y a aucune raison de déroger à ce principe au motif prétendu que le délai de prescription serait plus court dans l'Etat requérant, ce qui n'est d'ailleurs nullement établi en l'occurrence.</w:t>
      </w:r>
    </w:p>
    <w:p>
      <w:r>
        <w:rPr>
          <w:b/>
        </w:rPr>
        <w:t>E. 1.2</w:t>
      </w:r>
    </w:p>
    <w:p>
      <w:r>
        <w:t>La recourante estime par ailleurs que lorsqu'aucune mesure de contrainte n'a été prononcée (comme dans le cas d'espèce), la question de savoir si la date déterminante est celle du prononcé de la décision d'extradition constituerait une question de principe. Selon elle, une telle décision ne saurait constituer une mesure de contrainte au regard de l' art. 196 CPP ni un jugement au sens de l' art. 97 al. 3 CP . En l'occurrence, aucune mesure de contrainte n'a été ordonnée, la recourante n'ayant notamment pas été placée en détention durant la procédure d'extradition, par exception au principe posé à l' art. 47 al. 1 EIMP . Dans un tel cas, on ne voit pas à quel autre moment que lors de la décision d'extradition l'OFJ pourrait examiner la question de la prescription; la décision d'extrader possède au demeurant les effets d'une mesure de contrainte puisqu'elle permet une remise forcée à l'Etat étranger ( art. 56 ss EIMP ). La recourante invoque par ailleurs à tort l' art. 97 al. 3 CP puisque cette disposition s'applique aux autorités chargées de la poursuite pénale en Suisse et non à l'autorité d'extradition qui se borne à vérifier qu'il n'existe pas de motif d'irrecevabilité au sens de l' art. 5 EIMP . Sur ce point également, il n'y a pas de question de principe.</w:t>
      </w:r>
    </w:p>
    <w:p>
      <w:r>
        <w:rPr>
          <w:b/>
        </w:rPr>
        <w:t>E. 1.3</w:t>
      </w:r>
    </w:p>
    <w:p>
      <w:r>
        <w:t>Il n'y en a pas non plus en ce qui concerne le grief tiré de l' art. 8 CEDH . Cette disposition peut certes faire obstacle à l'extradition lorsque cette dernière apparaît comme une ingérence disproportionnée dans la vie familiale de l'intéressé (arrêt 1A.263/1996 du 1</w:t>
      </w:r>
    </w:p>
    <w:p>
      <w:r>
        <w:t>er novembre 1996 consid. 3e et 4 non publiés in ATF 122 II 485 ). Le Tribunal fédéral a toutefois précisé à plusieurs reprises qu'un tel refus (admis dans un unique cas concernant un père de deux filles mineures en Suisse, dont l'incarcération avait mis sa compagne, invalide à 100 % et enceinte d'un troisième enfant, dans un état anxio-dépressif avec des idées suicidaires) était tout-à-fait exceptionnel ( ATF 129 II 100 consid. 3.5 p. 105; arrêt 1C_173/2015 du 27 avril 2015 consid. 1.3).</w:t>
      </w:r>
    </w:p>
    <w:p>
      <w:r>
        <w:t>En l'occurrence, l'extradition de la recourante occasionnera inévitablement des difficultés dans le maintien des relations avec son mari (difficultés inhérentes à toute mesure d'incarcération), mais la situation n'est pas comparable avec celle qui est décrite ci-dessus. La recourante et son époux pourront recevoir les soins que nécessitent leurs états de santé respectifs, que ce soit en Suède ou en Suisse. L'arrêt de la Cour des plaintes est sur ce point également conforme à la jurisprudence constante.</w:t>
      </w:r>
    </w:p>
    <w:p>
      <w:r>
        <w:rPr>
          <w:b/>
        </w:rPr>
        <w:t>E. 2</w:t>
      </w:r>
    </w:p>
    <w:p>
      <w:r>
        <w:t>Sur le vu de ce qui précède, le recours est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