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1C_404/2011 vom 16. März 2012</w:t>
      </w:r>
    </w:p>
    <w:p>
      <w:r>
        <w:t>Bundesgericht, 2012-03-16, DE</w:t>
      </w:r>
    </w:p>
    <w:p>
      <w:r>
        <w:rPr>
          <w:b/>
        </w:rPr>
        <w:t xml:space="preserve">Quelle: </w:t>
      </w:r>
      <w:r>
        <w:t>https://mcp.opencaselaw.ch/entscheid/bger_1C_404_2011</w:t>
      </w:r>
    </w:p>
    <w:p>
      <w:r>
        <w:t>FR: TF 1C_404/2011 du 16 mars 2012</w:t>
      </w:r>
    </w:p>
    <w:p>
      <w:r>
        <w:t>IT: TF 1C_404/2011 del 16 marzo 2012</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Mindestentzugsdauern ist ausgeschlossen ( Art. 16 Abs. 3 SVG ).</w:t>
      </w:r>
    </w:p>
    <w:p>
      <w:r>
        <w:rPr>
          <w:b/>
        </w:rPr>
        <w:t>E. 2.2</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ZStrR 124/2006, S. 31 ff., insbesondere S. 63 f.).</w:t>
      </w:r>
    </w:p>
    <w:p>
      <w:r>
        <w:t>Aus Gründen der Rechtsgleichheit hat das Bundesgericht für die Beurteilung von Geschwindigkeitsüberschreitungen präzise Regeln aufgestellt. Danach stellt die Überschreitung der zulässigen Höchstgeschwindigkeit auf einer Autobahn auch bei günstigen objektiven und subjektiven Umständen grundsätzlich eine schwere Widerhandlung im Sinne von Art. 16c Abs. 1 lit. a SVG dar ( BGE 133 II 331 E. 3.2; 132 II 234 E. 3; 128 II 86 E. 2b).</w:t>
      </w:r>
    </w:p>
    <w:p>
      <w:r>
        <w:rPr>
          <w:b/>
        </w:rPr>
        <w:t>E. 2.3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w:t>
      </w:r>
    </w:p>
    <w:p>
      <w:r>
        <w:rPr>
          <w:b/>
        </w:rPr>
        <w:t>E. 3</w:t>
      </w:r>
    </w:p>
    <w:p>
      <w:r>
        <w:t>Das Verwaltungsgericht hat die unbestrittene Überschreitung der Höchstgeschwindigkeit auf einer Autobahn um 38 km/h unter Berufung auf die bundesgerichtliche Rechtsprechung als schwere Widerhandlung im Sinn von Art. 16c Abs. 1 lit. a SVG eingestuft. Es hat damit die Verfehlung des Beschwerdeführers als schwerwiegender beurteilt als es die Strafrichterin tat. Dazu ist es nach der in E. 2.3 dargestellten Rechtsprechung befugt, da es vom im Strafurteil festgestellten Sachverhalt ausgeht und nur in der rechtlichen Beurteilung der Tat zu einem abweichenden Schluss kommt.</w:t>
      </w:r>
    </w:p>
    <w:p>
      <w:r>
        <w:rPr>
          <w:b/>
        </w:rPr>
        <w:t>E. 3.1</w:t>
      </w:r>
    </w:p>
    <w:p>
      <w:r>
        <w:t>Der Beschwerdeführer macht geltend, es sei gesetz- und verfassungswidrig, Geschwindigkeitsüberschreitungen ohne Prüfung der konkreten Umstände des Einzelfalls nach dem vom Bundesgericht festgelegten Schema zu beurteilen. Nach Art. 102 Ziff. 1 SVG seien mangels abweichender Vorschriften die allgemeinen Bestimmungen des Strafgesetzbuchs und damit Art. 27 StGB anwendbar, womit die persönlichen Verhältnisse berücksichtigt werden müssten. Es sei auch mit dem in Art. 5 Abs. 2 BV verankerten Verhältnismässigkeitsprinzip nicht vereinbar, allein auf das Ausmass der Geschwindigkeitsüberschreitung abzustellen und die konkreten Umstände des Einzelfalls ausser acht zu lassen. Zu seinen Gunsten hätte berücksichtigt werden müssen, dass die Polizei die Höchstgeschwindigkeit lediglich zu Testzwecken auf 80 km/h begrenzt habe, die Strasse trocken, die Sicht gut und das Verkehrsaufkommen gering gewesen seien.</w:t>
      </w:r>
    </w:p>
    <w:p>
      <w:r>
        <w:rPr>
          <w:b/>
        </w:rPr>
        <w:t>E. 3.2</w:t>
      </w:r>
    </w:p>
    <w:p>
      <w:r>
        <w:t>Der Beschwerdeführer verkennt, dass es sich vorliegend um ein Verwaltungs- nicht ein Strafverfahren handelt. Der Vorwurf, das Verwaltungsgericht habe eine Bestimmung des Allgemeinen Teils des Strafgesetzbuchs nicht bzw. unrichtig angewandt, geht daher fehl.</w:t>
      </w:r>
    </w:p>
    <w:p>
      <w:r>
        <w:rPr>
          <w:b/>
        </w:rPr>
        <w:t>E. 3.3</w:t>
      </w:r>
    </w:p>
    <w:p>
      <w:r>
        <w:t>Nach der in E. 2.2 dargestellten bundesgerichtlichen Praxis gilt eine Geschwindigkeitsüberschreitung von mehr als 35 km/h auf einer Autobahn grundsätzlich als schwere Widerhandlung. Dies bedeutet keineswegs, dass die konkreten Umstände des Einzelfalls nicht zu prüfen wären, sondern nur, dass sich im Regelfall, d.h. wenn keine besonderen, aussergewöhnlichen Umstände vorliegen, die eine vom Schema abweichende Beurteilung gebieten, die Schwere der Widerhandlung schematisch nach dem Ausmass der Geschwindigkeitsüberschreitung richtet.</w:t>
      </w:r>
    </w:p>
    <w:p>
      <w:r>
        <w:t>Solche besonderen Umstände, denen eine Beurteilung nach Schema nicht gerecht werden kann, sind vorliegend weder dargetan noch ersichtlich. Günstige Strassen-, Sicht- und Verkehrsverhältnisse allein vermögen nach dem Gesagten eine vom Schema abweichende Beurteilung von vornherein nicht zu rechtfertigen. Auch nichts zu seinen Gunsten ableiten kann der Beschwerdeführer aus dem Umstand, dass die Polizei am fraglichen Abend offenbar die neue Wechselsignalanlage testete und das vom Beschwerdeführer missachtete Wechselsignal nur probeweise eine Höchstgeschwindigkeit von 80 km/h anzeigte für einen Autobahnabschnitt, auf dem in der Regel die allgemeine Höchstgeschwindigkeit von 120 km/h ( Art. 4a Abs. 1 lit. d VRV ) gilt. Die regelkonform signalisierte Höchstgeschwindigkeit ist indessen auch dann zu beachten, wenn man Zweifel an ihrer Rechtmässigkeit hegt bzw. sie für unzulässig hält ( BGE 128 IV 184 E. 4; Urteile 6B_109/2008 vom 13. Juni 2008 E. 2 und 6B_261/2008 vom 19. August 2008 E. 1.3; 1C_224/2010 vom 6. Oktober 2010 E. 4.4). Das Verwaltungsgericht hat daher kein Bundesrecht verletzt, indem es die dem Beschwerdeführer anzulastende Geschwindigkeitsüberschreitung um 38 km/h gemäss bundesgerichtlichem Schema als schwere Widerhandlung einstufte. Das zieht nach Art. 16c Abs. 2 lit. a SVG zwingend einen Führerausweisentzug von mindestens drei Monaten nach sich. Der gegen den Beschwerdeführer für diese Dauer verhängte Führerausweisentzug erweist sich somit als bundesrechtskonform.</w:t>
      </w:r>
    </w:p>
    <w:p>
      <w:r>
        <w:rPr>
          <w:b/>
        </w:rPr>
        <w:t>E. 4</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