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404/2008 vom 5. Dezember 2008</w:t>
      </w:r>
    </w:p>
    <w:p>
      <w:r>
        <w:t>Bundesgericht, 2008-12-05, FR</w:t>
      </w:r>
    </w:p>
    <w:p>
      <w:r>
        <w:rPr>
          <w:b/>
        </w:rPr>
        <w:t xml:space="preserve">Quelle: </w:t>
      </w:r>
      <w:r>
        <w:t>https://mcp.opencaselaw.ch/entscheid/bger_1C_404_2008</w:t>
      </w:r>
    </w:p>
    <w:p>
      <w:r>
        <w:t>FR: TF 1C 404/2008 du 5 décembre 2008</w:t>
      </w:r>
    </w:p>
    <w:p>
      <w:r>
        <w:t>IT: TF 1C 404/2008 del 5 dicembre 2008</w:t>
      </w:r>
    </w:p>
    <w:p>
      <w:pPr>
        <w:pStyle w:val="Heading2"/>
      </w:pPr>
      <w:r>
        <w:t>Regeste</w:t>
      </w:r>
    </w:p>
    <w:p>
      <w:r>
        <w:t>résiliation des rapports de service | Fonction publique</w:t>
      </w:r>
    </w:p>
    <w:p>
      <w:pPr>
        <w:pStyle w:val="Heading2"/>
      </w:pPr>
      <w:r>
        <w:t>Erwägungen</w:t>
      </w:r>
    </w:p>
    <w:p>
      <w:r>
        <w:rPr>
          <w:b/>
        </w:rPr>
        <w:t>E. 1</w:t>
      </w:r>
    </w:p>
    <w:p>
      <w:r>
        <w:t>La voie du recours en matière de droit public selon les art. 82 ss LTF est en principe ouverte pour contester les décisions concernant les rapports de travail de droit public. La contestation étant de nature pécuniaire, le motif d'exclusion de l' art. 83 let . g LTF n'entre pas en considération. Dans la mesure où le recourant conclut notamment au paiement d'une indemnité de 15'000 fr. pour tort moral ainsi que d'une indemnité pour renvoi abusif correspondant à six mois de salaire, la valeur litigieuse atteint le seuil de 15'000 fr. ouvrant la voie du recours en matière de droit public ( art. 85 al. 1 let. b LTF ). Pour le surplus, l'intéressé a la qualité pour recourir (art. 89 al. 1 let. b et c LTF) et le recours a été interjeté en temps utile, contre une décision finale prise en dernière instance cantonale non susceptible de recours devant le Tribunal administratif fédéral ( art. 86 al. 1 let . d, 90 et 100 al. 1 LTF), de sorte qu'il y a lieu d'entrer en matière.</w:t>
      </w:r>
    </w:p>
    <w:p>
      <w:r>
        <w:rPr>
          <w:b/>
        </w:rPr>
        <w:t>E. 2</w:t>
      </w:r>
    </w:p>
    <w:p>
      <w:r>
        <w:t>Le recourant estime que le Tribunal cantonal aurait dû constater qu'il avait été victime de mobbing au sens de la jurisprudence. Il se plaint d'une violation de l' art. 328 CO et des art. 20 et 36 du Règlement sur le statut du personnel de la HE-ARC.</w:t>
      </w:r>
    </w:p>
    <w:p>
      <w:r>
        <w:rPr>
          <w:b/>
        </w:rPr>
        <w:t>E. 2.1</w:t>
      </w:r>
    </w:p>
    <w:p>
      <w:r>
        <w:t>Les motifs de recours au Tribunal fédéral sont énumérés aux art. 95 et 96 LTF . La violation du droit cantonal ne constitue en principe pas un motif de recours, sauf dans les cas prévus par l' art. 95 let . c à e LTF, qui n'entrent pas en considération en l'espèce. Par conséquent, une violation du droit cantonal ne peut être invoquée que si elle constitue également une atteinte au droit fédéral au sens de l' art. 95 let. a LTF ou au droit international au sens de l' art. 95 let. b LTF ( ATF 133 II 249 consid. 1.2.1 p. 251 s.) L'atteinte au droit fédéral selon l' art. 95 let. a LTF peut notamment résulter du fait que le droit cantonal a été appliqué de façon arbitraire ( art. 9 Cst. ; pour une définition de l'arbitraire, cf. ATF 133 I 149 consid. 3.1 p. 153). Appelé à revoir l'application ou l'interprétation d'une norme sous cet angle,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2.2</w:t>
      </w:r>
    </w:p>
    <w:p>
      <w:r>
        <w:t>En l'occurrence, une éventuelle violation du Règlement sur le statut du personnel de la HE-ARC ne constitue pas en elle-même un motif de recours au sens des normes précitées. Seule une application arbitraire de ce règlement pourrait dès lors faire l'objet d'un grief. Quant à l' art. 328 CO , il s'agit d'une disposition de droit privé et le recourant n'explique pas en vertu de quelles règles elle trouverait application en l'espèce. En principe, les dispositions du droit des obligations ne sont pas applicables comme telles aux contestations portant sur des rapports de travail de droit public, mais elles peuvent s'appliquer à titre subsidiaire et par analogie, comme droit cantonal supplétif (cf. ATF 118 II 213 consid. 4 et les références; arrêt 2A.770/2006 du 26 avril 2007 consid. 4.2). Dans la mesure où le recourant se borne à critiquer l'application de cette norme et du règlement précité, sans aucunement démontrer, ni même alléguer, que cette application serait arbitraire ou qu'elle porterait atteinte à ses droits constitutionnels, il est douteux que les griefs en question soient recevables. Cette question peut cependant demeurer indécise, dès lors que le recours ne traite pas à proprement parler de l'application ou de l'interprétation du règlement invoqué et de l' art. 328 CO , mais qu'il porte plutôt sur l'établissement et l'appréciation des faits.</w:t>
      </w:r>
    </w:p>
    <w:p>
      <w:r>
        <w:rPr>
          <w:b/>
        </w:rPr>
        <w:t>E. 3</w:t>
      </w:r>
    </w:p>
    <w:p>
      <w:r>
        <w:t>Le recourant semble en effet contester certains faits retenus par le Tribunal administratif et il présente sa propre lecture du dossier ainsi qu'un exposé des événements qu'il tient pour déterminants, pour conclure que ces éléments auraient dû conduire à la constatation d'un mobbing.</w:t>
      </w:r>
    </w:p>
    <w:p>
      <w:r>
        <w:rPr>
          <w:b/>
        </w:rPr>
        <w:t>E. 3.1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ce qu'il lui appartient de démontrer par une argumentation répondant aux exigences de l' art. 42 al. 2 LTF , respectivement de l' art. 106 al. 2 LTF . Le recourant ne peut pas se satisfaire de présenter un état de fait s'écartant des faits constatés dans l'arrêt attaqué, mais il doit démontrer en quoi ces constatations sont arbitraires ( ATF 133 II 249 consid. 1.4.3 p. 254 s.). Un recours au Tribunal fédéral doit en effet respecter des exigences d'allégation et de motivation, conformément aux art. 42 al. 2 et 106 al. 2 LTF. Selon cette dernière disposition, les griefs de violation du droit constitutionnel ne peuvent être examinés que s'ils sont invoqués et motivés; ils répondent en outre à des exigences de motivation accrues, correspondant à celles de l'ancien art. 90 al. 1 let. b OJ ( ATF 133 II 249 consid. 1.4.2 p. 254). Il appartient donc au recourant de démontrer dans quelle mesure la décision attaquée viole les droits fondamentaux invoqués. Le Tribunal fédéral n'examine que les griefs soulevés de manière claire et précise; il n'entre pas en matière sur les griefs insuffisamment motivés et sur les critiques de nature appellatoire ( ATF 133 III 589 consid. 2 p. 591 et les références).</w:t>
      </w:r>
    </w:p>
    <w:p>
      <w:r>
        <w:rPr>
          <w:b/>
        </w:rPr>
        <w:t>E. 3.2</w:t>
      </w:r>
    </w:p>
    <w:p>
      <w:r>
        <w:t>En l'espèce, le recourant développe longuement sa propre appréciation du dossier et il expose que celui-ci contenait suffisamment d'éléments pour retenir l'existence d'un mobbing. Il discute les constatations de fait, en perdant cependant de vue que le Tribunal fédéral statue en principe sur la base des faits établis par l'autorité précédente, sauf si ceux-ci sont manifestement inexacts ou s'il est démontré qu'ils ont été établis de façon arbitraire. Dès lors que le recours ne comporte pas une telle démonstration et dans la mesure où l'état de fait n'apparaît pas d'emblée manifestement inexact ou insoutenable, il n'y a pas lieu de prendre en considération d'autres faits que ceux retenus dans la décision attaquée. L'appréciation arbitraire de ces faits n'est pas davantage démontrée. Le recourant se limite en effet à présenter la définition du mobbing et à formuler des critiques de nature appellatoire; il conteste des faits et en énumère de nombreux autres, sans toutefois en tirer de conséquences juridiques concrètes. Le recourant agit donc comme si le Tribunal fédéral revoyait librement l'ensemble de la cause en fait et en droit indépendamment des griefs présentés, ce qui n'est pas le cas. Il lui appartenait au contraire d'invoquer l'interdiction de l'arbitraire au sens de l' art. 9 Cst. et de proposer une démonstration à cet égard, en expliquant concrètement en quoi l'appréciation du Tribunal administratif était insoutenable et quels éléments précis n'auraient pas été pris en compte par cette autorité alors qu'ils étaient absolument déterminants. Dans ces conditions, faute de griefs clairement présentés et démontrés, il y a lieu de constater que les exigences de motivation accrues mentionnées ci-dessus ne sont pas respectées. Le Tribunal fédéral ne peut dès lors pas entrer en matière sur ces critiques, qui doivent être déclarées irrecevables. Ces griefs ont du reste pour la plupart été examinés de manière détaillée par les précédentes instances et le recourant peut être renvoyé à cet égard aux considérants de l'arrêt attaqué, qui n'apparaissent au demeurant pas d'emblée arbitraires au sens de la jurisprudence susmentionnée.</w:t>
      </w:r>
    </w:p>
    <w:p>
      <w:r>
        <w:rPr>
          <w:b/>
        </w:rPr>
        <w:t>E. 4</w:t>
      </w:r>
    </w:p>
    <w:p>
      <w:r>
        <w:t>Il s'ensuit que le recours doit être rejeté, dans la mesure de sa recevabilité. Le recourant, qui succombe, doit supporter les frais de la présente procédure ( art. 66 al. 1 LTF ). Il n'est pas alloué de dépens à l'intimée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