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403/2011 vom 28. September 2011</w:t>
      </w:r>
    </w:p>
    <w:p>
      <w:r>
        <w:t>Bundesgericht, 2011-09-28, DE</w:t>
      </w:r>
    </w:p>
    <w:p>
      <w:r>
        <w:rPr>
          <w:b/>
        </w:rPr>
        <w:t xml:space="preserve">Quelle: </w:t>
      </w:r>
      <w:r>
        <w:t>https://mcp.opencaselaw.ch/entscheid/bger_1C_403_2011</w:t>
      </w:r>
    </w:p>
    <w:p>
      <w:r>
        <w:t>FR: TF 1C 403/2011 du 28 septembre 2011</w:t>
      </w:r>
    </w:p>
    <w:p>
      <w:r>
        <w:t>IT: TF 1C 403/2011 del 28 settembre 2011</w:t>
      </w:r>
    </w:p>
    <w:p>
      <w:pPr>
        <w:pStyle w:val="Heading2"/>
      </w:pPr>
      <w:r>
        <w:t>Regeste</w:t>
      </w:r>
    </w:p>
    <w:p>
      <w:r>
        <w:t>Planungs- und Baurecht (Teilzonenplan Steinfabrikareal; Wiederholung Auflage- und Einspracheverfahren | Raumplanung und öffentliches Baurecht</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Der angefochtene Entscheid betrifft die Revision eines Nutzungsplans im Sinne von Art. 14 ff. RPG (SR 700). Dagegen steht grundsätzlich die Beschwerde in öffentlich-rechtlichen Angelegenheiten offen ( Art. 82 ff. BGG ; BGE 135 II 22 E. 1.1).</w:t>
      </w:r>
    </w:p>
    <w:p>
      <w:r>
        <w:rPr>
          <w:b/>
        </w:rPr>
        <w:t>E. 1.2</w:t>
      </w:r>
    </w:p>
    <w:p>
      <w:r>
        <w:t>Der Beschwerde in öffentlich-rechtlichen Angelegenheiten im Sinne von Art. 82 lit. a BGG unterliegen Endentscheide, die das Verfahren abschliessen ( Art. 90 BGG ). Unter bestimmten Voraussetzungen können Teil-, Vor- und Zwischenentscheide selbstständig angefochten werden ( Art. 91-93 BGG ). Auf Beschwerden gegen Rechtsmittelentscheide über die Festsetzung von Nutzungsplänen tritt das Bundesgericht grundsätzlich nur ein, wenn ein Genehmigungsentscheid der zuständigen kantonalen Behörde im Sinne von Art. 26 Abs. 1 RPG vorliegt ( BGE 135 II 22 E. 1.2.1 mit Hinweisen). Die hier umstrittene Zonenplanänderung wurde noch nicht genehmigt. Die Vorinstanz führt im angefochtenen Entscheid aus, dass sowohl der Beschluss der Gemeindeversammlung über die Planänderung als auch die Genehmigung des Regierungsrats noch ausstünden. Das Verwaltungsgericht prüfe die Angelegenheit soweit nötig nach Vorliegen der genannten Entscheide. Dannzumal könne die Sache mit Beschwerde gegen das verwaltungsgerichtliche Urteil an das Bundesgericht weitergezogen werden. Das vom Verwaltungsgericht in Aussicht gestellte Vorgehen ist mit dem Bundesrecht und der in BGE 135 II 22 publizierten Rechtsprechung vereinbar. Die vorliegende Beschwerde ist verfrüht. Das Bundesgericht kann erst angerufen werden, nachdem der durch die zuständige kantonale Instanz genehmigte Planfestsetzungsbeschluss vom Verwaltungsgericht beurteilt wurde. Es ist somit nicht zu beanstanden, dass die Vorinstanz auf die Beschwerde nicht eingetreten ist. Die vorliegende Beschwerde ist somit abzuweisen. Mit diesem Entscheid wird das Gesuch um aufschiebende Wirkung gegenstandslos.</w:t>
      </w:r>
    </w:p>
    <w:p>
      <w:r>
        <w:rPr>
          <w:b/>
        </w:rPr>
        <w:t>E. 2</w:t>
      </w:r>
    </w:p>
    <w:p>
      <w:r>
        <w:t>Dem Ausgang des bundesgerichtlichen Verfahrens entsprechend sind die Gerichtskosten der unterliegenden Beschwerdeführerin aufzuerlegen ( Art. 66 Abs. 1 BGG ). Der Beschwerdeführerin steht keine Parteientschädigung zu ( Art. 68 Abs. 2 BGG ). 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