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1C_402/2015 vom 10. Februar 2016</w:t>
      </w:r>
    </w:p>
    <w:p>
      <w:r>
        <w:t>Bundesgericht, 2016-02-10, DE</w:t>
      </w:r>
    </w:p>
    <w:p>
      <w:r>
        <w:rPr>
          <w:b/>
        </w:rPr>
        <w:t xml:space="preserve">Quelle: </w:t>
      </w:r>
      <w:r>
        <w:t>https://mcp.opencaselaw.ch/entscheid/bger_1C_402_2015</w:t>
      </w:r>
    </w:p>
    <w:p>
      <w:r>
        <w:t>FR: TF 1C_402/2015 du 10 février 2016</w:t>
      </w:r>
    </w:p>
    <w:p>
      <w:r>
        <w:t>IT: TF 1C_402/2015 del 10 febbraio 2016</w:t>
      </w:r>
    </w:p>
    <w:p>
      <w:pPr>
        <w:pStyle w:val="Heading2"/>
      </w:pPr>
      <w:r>
        <w:t>Erwägungen</w:t>
      </w:r>
    </w:p>
    <w:p>
      <w:r>
        <w:rPr>
          <w:b/>
        </w:rPr>
        <w:t>E. 1</w:t>
      </w:r>
    </w:p>
    <w:p>
      <w:r>
        <w:t>Angefochten ist ein kantonal letztinstanzlicher Entscheid über eine Administrativmassnahme gegen einen Fahrzeuglenker. Dagegen steht die Beschwerde in öffentlich-rechtlichen Angelegenheiten nach Art. 82 ff. BGG offen; ein Ausnahmegrund ist nicht gegeben ( Art. 83 BGG ). Der Beschwerdeführer ist zur Beschwerde befugt ( Art. 89 Abs. 1 BGG ). Die übrigen Sachurteilsvoraussetzungen geben zu keinen Bemerkungen Anlass, sodass auf die Beschwerde einzutreten ist.</w:t>
      </w:r>
    </w:p>
    <w:p>
      <w:r>
        <w:rPr>
          <w:b/>
        </w:rPr>
        <w:t>E. 2.1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bzw. für mindestens vier Monate, wenn in den vorangegangenen zwei Jahren der Ausweis bereits einmal wegen einer schweren oder mittelschweren Widerhandlung entzogen war (Abs. 2 lit. b). Leichte und mittelschwere Widerhandlungen werden von Art. 90 Ziff. 1 SVG als einfache Verkehrsregelverletzungen erfasst ( BGE 135 II 138 E. 2.4 S. 143). Gemäss Art. 16c SVG begeht eine schwere Widerhandlung, wer durch grobe Verletzung von Verkehrsregeln eine ernstliche Gefahr für die Sicherheit anderer hervorruft oder in Kauf nimmt (Abs. 1 lit. a). Nach einer schweren Widerhandlung, welche einer groben Verkehrsregelverletzung im Sinne von Art. 90 Ziff. 2 SVG entspricht ( BGE 132 II 234 E. 3 S. 237), wird der Führerausweis für mindestens drei Monate entzogen (Abs. 2 lit. a). Eine Unterschreitung der gesetzlichen Mindestentzugsdauer ist ausgeschlossen ( Art. 16 Abs. 3 SVG ; zum Ganzen: Urteil 1C_424/2012 vom 14. Januar 2013 E 2.1).</w:t>
      </w:r>
    </w:p>
    <w:p>
      <w:r>
        <w:rPr>
          <w:b/>
        </w:rPr>
        <w:t>E. 2.2</w:t>
      </w:r>
    </w:p>
    <w:p>
      <w:r>
        <w:t>Die mittelschwere Widerhandlung stellt nach Art. 16b Abs. 1 lit. a SVG einen Auffangtatbestand dar. Sie liegt vor, wenn nicht alle privilegierenden Elemente einer leichten Widerhandlung nach Art. 16a Abs. 1 lit. a SVG und nicht alle qualifizierenden Elemente einer schweren Widerhandlung nach Art. 16c Abs. 1 lit. a SVG gegeben sind (Urteil 6A.16/2006 vom 6. April 2006 E. 2.1.1, in: JdT 2006 I S. 442; Botschaft vom 31. März 1999 zur Änderung des Strassenverkehrsgesetzes, BBl 1999 4487).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(Botschaft a.a.O. 4489; CÉDRIC MIZEL, Die Grundtatbestände der neuen Warnungsentzüge des SVG und ihre Beziehung zum Strafrecht, in ZStrR 124/2006, S. 31 ff., insbesondere S. 63 f.; zum Ganzen: Urteil 1C_456/2011 vom 28. Februar 2012 E. 2.2).</w:t>
      </w:r>
    </w:p>
    <w:p>
      <w:r>
        <w:rPr>
          <w:b/>
        </w:rPr>
        <w:t>E. 2.3</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 BGE 136 II 447 E. 3.1; 127 II 302 nicht publ. E. 3a; 124 II 103 E. 1c/aa und bb). Auch in diesem Zusammenhang hat er jedoch den eingangs genannten Grundsatz (Vermeiden widersprüchlicher Urteile) gebührend zu berücksichtigen (Urteil 1C_424/2012 vom 14. Januar 2013 E 2.3).</w:t>
      </w:r>
    </w:p>
    <w:p>
      <w:r>
        <w:rPr>
          <w:b/>
        </w:rPr>
        <w:t>E. 3.1</w:t>
      </w:r>
    </w:p>
    <w:p>
      <w:r>
        <w:t>Unbestritten ist, dass dem Beschwerdeführer der Führerausweis bereits am 26. September 2013 wegen einer schweren Widerhandlung für drei Monate entzogen worden war. Erweist sich der vorliegend zu beurteilende Vorfall entsprechend der Beurteilung aller Vorinstanzen als mittelschwere Widerhandlung, so entspricht die gegen den Beschwerdeführer verhängte Entzugsdauer von 4 Monaten dem gesetzlichen Minimum ( Art. 16b Abs. 2 lit. b SVG ), das nicht unterschritten werden kann.</w:t>
      </w:r>
    </w:p>
    <w:p>
      <w:r>
        <w:rPr>
          <w:b/>
        </w:rPr>
        <w:t>E. 3.2</w:t>
      </w:r>
    </w:p>
    <w:p>
      <w:r>
        <w:t>Sowohl der Strafbefehl als auch die umstrittene Administrativmassnahme beruhen einzig auf dem Polizeirapport und der polizeilichen Einvernahme des Beschwerdeführers vor Ort. Weitere Sachverhaltsabklärungen wurden nicht vorgenommen. Die strafrechtliche und die verwaltungsrechtliche Beurteilungen des Vorfalls als einfache Verkehrsregelverletzung bzw. als mittelschwere Widerhandlung decken sich im Grundsatz (oben E. 2.1), auch wenn die Staatsanwaltschaft, wie sich aus der moderaten Bussenhöhe von Fr. 400.-- ergibt, das Verschulden unter strafrechtlichen Gesichtspunkten weniger streng beurteilte als dies das Strassenverkehrsamt unter verwaltungsrechtlichen tat. Das Strassenverkehrsamt ist in der vorliegenden Konstellation allerdings befugt, das Verschulden eigenständig zu beurteilen und von der Auffassung des Strafrichters abzuweichen (oben E. 2.2).</w:t>
      </w:r>
    </w:p>
    <w:p>
      <w:r>
        <w:rPr>
          <w:b/>
        </w:rPr>
        <w:t>E. 3.3</w:t>
      </w:r>
    </w:p>
    <w:p>
      <w:r>
        <w:t>Der Beschwerdeführer fuhr bei Nacht, bei starkem Schneetreiben auf der mit rund 10 cm Schnee bedeckten Landwasserstrasse talabwärts, als er in einer scharfen Rechtskurve die Kontrolle über sein Fahrzeug vollständig verlor, über die Gegenfahrbahn rutschte, einen Leitpfosten und eine Kurvenleitschranke knickte, einen Drahtzaun durchschlug und die Böschung hinunterschlitterte. Die Verhältnisse waren zwar offenkundig schlecht, die Strasse nach Einschätzung der Polizeibeamten vor Ort "sehr rutschig". Sie waren allerdings dem Beschwerdeführer, der, von Davos kommend, vor dem Unfall bereits mehrere Kilometer auf der Landwasserstrasse zurückgelegt hatte, auch bekannt. Offensichtlich hat er sie indessen unterschätzt bzw. die Haftung seines Fahrzeugs überschätzt und war mit einer den Verhältnissen nicht angepassten, überhöhten Geschwindigkeit unterwegs. Diesen Vorwurf hat er im Strafverfahren akzeptiert, und das Verschulden an dieser Fehleinschätzung darf nicht ohne weiteres bagatellisiert werden. Vor allem aber wurden durch den totalen Kontrollverlust über das (schwere) Fahrzeug sowohl er als auch andere Verkehrsteilnehmer stark gefährdet. Er selber hat den Unfall nur deshalb unbeschadet überstanden, weil die Böschung an der Unfallstelle zufällig wenig steil abfällt; an anderer Stelle hätte ein solches Ausbrechen des Fahrzeugs weit schlimmere Folgen für ihn haben können. Keiner weiteren Ausführungen bedarf zudem, dass zumindest abstrakt auch die anderen Verkehrsteilnehmer erheblich gefährdet wurden, gerade bei den schwierigen Strassenverhältnissen, die brüske Ausweichmanöver, um einem unkontrolliert über die Gegenfahrbahn rutschenden Fahrzeug auszuweichen, nicht erlauben. Seine Behauptung, es habe für den Gegenverkehr keine Gefahr bestanden, da solcher höchstens im Schritttempo hätte fahren und dementsprechend rechtzeitig bremsen können, entbehrt jeder Grundlage. Er selber fuhr nach eigenen Angaben mit rund 20 km/h talwärts, also mindestens vier bis fünf mal schneller als im Schritttempo. Er musste daher mit entgegenkommenden Fahrzeugen rechnen, die zumindest gleich schnell, eher aber - bergwärts - schneller unterwegs waren als er. Das Verwaltungsgericht hat kein Bundesrecht verletzt, indem es die Einstufung des Vorfalls als mittelschwere Widerhandlung schützte.</w:t>
      </w:r>
    </w:p>
    <w:p>
      <w:r>
        <w:rPr>
          <w:b/>
        </w:rPr>
        <w:t>E. 4</w:t>
      </w:r>
    </w:p>
    <w:p>
      <w:r>
        <w:t>Die Beschwerde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