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1C_401/2025 vom 8. September 2025</w:t>
      </w:r>
    </w:p>
    <w:p>
      <w:r>
        <w:t>Bundesgericht, 2025-09-08, DE</w:t>
      </w:r>
    </w:p>
    <w:p>
      <w:r>
        <w:rPr>
          <w:b/>
        </w:rPr>
        <w:t xml:space="preserve">Quelle: </w:t>
      </w:r>
      <w:r>
        <w:t>https://mcp.opencaselaw.ch/entscheid/bger_1C_401_2025</w:t>
      </w:r>
    </w:p>
    <w:p>
      <w:r>
        <w:t>FR: TF 1C_401/2025 du 8 septembre 2025</w:t>
      </w:r>
    </w:p>
    <w:p>
      <w:r>
        <w:t>IT: TF 1C_401/2025 del 8 settembre 2025</w:t>
      </w:r>
    </w:p>
    <w:p>
      <w:pPr>
        <w:pStyle w:val="Heading2"/>
      </w:pPr>
      <w:r>
        <w:t>Erwägungen</w:t>
      </w:r>
    </w:p>
    <w:p>
      <w:r>
        <w:rPr>
          <w:b/>
        </w:rPr>
        <w:t>E. 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nur vorgebracht werden, der angefochtene Entscheid verstosse gegen Bundesrecht, namentlich das Willkürverbot nach Art. 9 BV ( BGE 141 I 36 E. 1.3 ; 138 I 143 E. 2).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mit Hinweisen). In der Beschwerdebegründung ist in gedrängter Form darzulegen, inwiefern der angefochtene Akt Recht verletzt ( Art. 42 Abs. 2 BGG ). Die beschwerdeführende Partei muss sich wenigstens kurz mit den Erwägungen des angefochtenen Entscheids auseinandersetzen. Erhöhte Anforderungen gelten in Bezug auf die Verletzung von Grundrechten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2</w:t>
      </w:r>
    </w:p>
    <w:p>
      <w:r>
        <w:t>Die Vorinstanz ist im angefochtenen Entscheid mit einlässlicher Begründung zum Schluss gekommen, das Bauvorhaben halte die in der Dorfzone der Gemeinde Ilanz/Glion zulässige Gesamthöhe sowie die maximal zulässige Fassadenhöhe ein, unter Berücksichtigung des Zuschlags für die Hanglage gemäss Art. 17 Abs. 1 i.V.m. Art. 21 des Baugesetzes der Gemeinde Ilanz/Glion vom 18. September 2019 (BauG). Für die Messweise werde in Art. 21 BauG auf Ziff. 5.1 und 5.2 Anh. 1 der Interkantonalen Vereinbarung über die Harmonisierung der Baubegriffe (IVHB) verwiesen, wonach der natürlich gewachsene Geländeverlauf massgebend sei (vgl. Anh. 1 Ziff. 1.1 IVHB). Entgegen der Auffassung des Beschwerdeführers könnten somit die Abgrabungen keinen Einfluss auf die Höhen haben, da diese den zukünftigen Geländeverlauf und nicht den massgebenden aktuellen (natürlichen) Geländeverlauf definierten. Davon zu unterscheiden sei die Prüfung, ob die vorgesehenen Abgrabungen zulässig seien (dies wurde im angefochtenen Entscheid bejaht und wird vom Beschwerdeführer vor Bundesgericht nicht mehr bestritten). Der Beschwerdeführer macht einzig geltend, die kommunale Regelung im BauG weise eine Gesetzeslücke bzw. einen technischen Mangel auf, weil sie nicht das ganze, fertige Gebäude beurteile, sondern nur die Gebäudehöhe ab gewachsenem Terrain; werde das Terrain durch Abgrabungen tiefer gelegt, müsse auf das abgegrabene Terrain abgestellt werde, um das Gebäude als Einheit zu erfassen. Er legt damit seine eigene Auffassung über die richtige Messweise dar, ohne substanziiert aufzuzeigen, inwiefern das Abstellen auf das natürliche Terrain interkantonales Recht (IVHB), die Eigentumsgarantie ( Art. 26 BV ), das Willkürverbot oder den Grundsatz von Treu und Glauben ( Art. 9 BV ) verletzt. Damit genügt die Beschwerde den Begründungsanforderungen offensichtlich nicht. Es ist deshalb im vereinfachten Verfahren nach Art. 108 Abs. 1 BGG auf sie nicht einzutreten.</w:t>
      </w:r>
    </w:p>
    <w:p>
      <w:r>
        <w:rPr>
          <w:b/>
        </w:rPr>
        <w:t>E. 3</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