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1C_401/2012 vom 29. Januar 2013</w:t>
      </w:r>
    </w:p>
    <w:p>
      <w:r>
        <w:t>Bundesgericht, 2013-01-29, FR</w:t>
      </w:r>
    </w:p>
    <w:p>
      <w:r>
        <w:rPr>
          <w:b/>
        </w:rPr>
        <w:t xml:space="preserve">Quelle: </w:t>
      </w:r>
      <w:r>
        <w:t>https://mcp.opencaselaw.ch/entscheid/bger_1C_401_2012</w:t>
      </w:r>
    </w:p>
    <w:p>
      <w:r>
        <w:t>FR: TF 1C_401/2012 du 29 janvier 2013</w:t>
      </w:r>
    </w:p>
    <w:p>
      <w:r>
        <w:t>IT: TF 1C_401/2012 del 29 gennaio 2013</w:t>
      </w:r>
    </w:p>
    <w:p>
      <w:pPr>
        <w:pStyle w:val="Heading2"/>
      </w:pPr>
      <w:r>
        <w:t>Erwägungen</w:t>
      </w:r>
    </w:p>
    <w:p>
      <w:r>
        <w:rPr>
          <w:b/>
        </w:rPr>
        <w:t>E. 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8C_817/2008 du 19 juin 2009 consid. 4.2.1).</w:t>
      </w:r>
    </w:p>
    <w:p>
      <w:r>
        <w:rPr>
          <w:b/>
        </w:rPr>
        <w:t>E. 2</w:t>
      </w:r>
    </w:p>
    <w:p>
      <w:r>
        <w:t>Dans le cas particulier, l'arrêt attaqué annule le refus de la municipalité d'entrer en matière sur la demande de réexamen du permis de construire litigieux. Il ne met dès lors pas fin à la procédure, puisqu'il appartiendra à la municipalité de prendre une décision au fond et d'examiner s'il convient ou non de révoquer le permis de construire. Bien qu'il ne renvoie pas formellement la cause à l'autorité inférieure pour nouvelle décision, tel est le sens de l'arrêt attaqué, qui s'analyse ainsi comme une décision de renvoi (cf. arrêt 1P.403/2006 du 30 novembre 2006 consid. 2.2).</w:t>
      </w:r>
    </w:p>
    <w:p>
      <w:r>
        <w:rPr>
          <w:b/>
        </w:rPr>
        <w:t>E. 2.1</w:t>
      </w:r>
    </w:p>
    <w:p>
      <w:r>
        <w:t>L' art. 93 al. 1 let. b LTF est manifestement inapplicable, car il n'apparaît pas que l'admission du recours permettrait d'éviter une procédure probatoire longue et coûteuse. Il y a donc lieu d'examiner si le recours est recevable en application de l' art. 93 al. 1 let. a LTF .</w:t>
      </w:r>
    </w:p>
    <w:p>
      <w:r>
        <w:rPr>
          <w:b/>
        </w:rPr>
        <w:t>E. 2.2</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III 639 consid. 2.3.1 p. 632 et les références). Il appartient au recourant d'alléguer et d'établir la possibilité que la décision incidente lui cause un dommage irréparable, à moins que celui-ci ne fasse d'emblée aucun doute ( ATF 133 III 639 op. cit.).</w:t>
      </w:r>
    </w:p>
    <w:p>
      <w:r>
        <w:t>En l'espèce, la recourante n'allègue pas que l'arrêt attaqué lui ferait courir un risque de préjudice irréparable. Au demeurant, on ne voit pas en quoi elle subirait un tel préjudice puisque l'arrêt attaqué ne révoque pas l'autorisation de construire qui lui a été accordée, mais annule uniquement la décision de la municipalité de ne pas entrer en matière sur une demande de réexamen. L'intéressée pourra donc faire valoir ses griefs (violation des principes de la sécurité du droit, de la garantie des droits acquis et de la proportionnalité) au prochain stade de la procédure, quand la municipalité devra décider de confirmer, modifier ou révoquer le permis qu'elle avait octroyé en 2007. Partant, le présent recours est également irrecevable sous l'angle de l' art. 93 al. 1 let. a LTF .</w:t>
      </w:r>
    </w:p>
    <w:p>
      <w:r>
        <w:rPr>
          <w:b/>
        </w:rPr>
        <w:t>E. 3</w:t>
      </w:r>
    </w:p>
    <w:p>
      <w:r>
        <w:t>Il résulte de ce qui précède que le recours doit être déclaré irrecevable.</w:t>
      </w:r>
    </w:p>
    <w:p>
      <w:r>
        <w:t>La recourante, qui succombe, supportera les frais judiciaires ( art. 65 et 66 al. 1 LTF ). Elle versera en outre une indemnité de dépens aux intimés qui obtiennent gain de cause avec l'assistance d'un avocat ( art. 68 al. 1et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