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1C_401/2007 vom 20. November 2007</w:t>
      </w:r>
    </w:p>
    <w:p>
      <w:r>
        <w:t>Bundesgericht, 2007-11-20, FR</w:t>
      </w:r>
    </w:p>
    <w:p>
      <w:r>
        <w:rPr>
          <w:b/>
        </w:rPr>
        <w:t xml:space="preserve">Quelle: </w:t>
      </w:r>
      <w:r>
        <w:t>https://mcp.opencaselaw.ch/entscheid/bger_1C_401_2007</w:t>
      </w:r>
    </w:p>
    <w:p>
      <w:r>
        <w:t>FR: TF 1C_401/2007 du 20 novembre 2007</w:t>
      </w:r>
    </w:p>
    <w:p>
      <w:r>
        <w:t>IT: TF 1C_401/2007 del 20 novembre 2007</w:t>
      </w:r>
    </w:p>
    <w:p>
      <w:pPr>
        <w:pStyle w:val="Heading2"/>
      </w:pPr>
      <w:r>
        <w:t>Erwägungen</w:t>
      </w:r>
    </w:p>
    <w:p>
      <w:r>
        <w:rPr>
          <w:b/>
        </w:rPr>
        <w:t>E. 1</w:t>
      </w:r>
    </w:p>
    <w:p>
      <w:r>
        <w:t>Conformément à l' art. 54 al. 1 LTF , le présent arrêt est rendu en français, langue de l'arrêt attaqué.</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La recourante estime que le cas serait particulièrement important, pour plusieurs raisons. Le TPF se serait écarté de la jurisprudence s'agissant de l'exigence d'une traduction certifiée, dont on ne pourrait se dispenser qu'à titre provisoire. La Cour des plaintes aurait aussi violé deux principes fondamentaux applicables à la procédure d'entraide: d'une part l'exigence de motivation de la demande ( art. 28 al. 3 EIMP ); d'autre part la condition de la double incrimination ( art. 64 al. 1 EIMP ). La recourante évoque également le blocage des avoirs de la famille X.________, y compris des personnes non impliquées.</w:t>
      </w:r>
    </w:p>
    <w:p>
      <w:r>
        <w:rPr>
          <w:b/>
        </w:rPr>
        <w:t>E. 2.3</w:t>
      </w:r>
    </w:p>
    <w:p>
      <w:r>
        <w:t>La décision de clôture porte bien sur la transmission de documents concernant le domaine secret. Toutefois, en dépit des explications de la recourante, le cas ne revêt pas d'importance particulière au regard de l' art. 84 LTF , dont le but est de limiter fortement l'accès au Tribunal fédéral dans le domaine de l'entraide judiciaire, en ne permettant de recourir que dans un nombre limité de cas jugés particulièrement importants ( ATF 133 IV 125 , 129, 131, 132).</w:t>
      </w:r>
    </w:p>
    <w:p>
      <w:r>
        <w:t>En l'occurrence, les montants en jeu sont certes importants, mais pas exceptionnels dans le cadre de contrats publics. La procédure pénale menée au Brésil ne présente pas de caractère politique particulier qui pourrait justifier une application de l' art. 3 al. 1 EIMP ( ATF 133 IV 40 consid. 7.3). La recourante, qui a son siège à Panama, n'est pas susceptible de pâtir de l'éventuel caractère fiscal de la procédure; elle ne se plaint par ailleurs pas de défauts qui entacheraient cette même procédure et seraient susceptibles de l'affecter. Les irrégularités qu'elle voit dans la procédure suisse d'entraide (en particulier concernant son droit d'être entendue et les conditions d'octroi de l'entraide qui feraient, selon elle, défaut), ne sauraient être assimilées à un défaut grave de la procédure étrangère, cette dernière expression devant être interprétée de manière restrictive. Les objections de la recourante sur le fond (motivation de la demande et double incrimination) ne suffisent évidemment pas à faire du présent cas une affaire de principe.</w:t>
      </w:r>
    </w:p>
    <w:p>
      <w:r>
        <w:t>Au surplus, l'affaire a trait essentiellement au respect du principe de la proportionnalité. Sur ce point, le Tribunal pénal fédéral ne s'est pas écarté de la jurisprudence constante selon laquelle lorsque la demande vise, comme en l'espèce, notamment à éclaircir le cheminement de fonds d'origine délictueuse, il convient d'informer l'Etat requérant de toutes les transactions opérées au nom des sociétés et des comptes impliqués dans l'affaire, quand bien même ceux-ci ne sont pas expressément mentionnés par l'autorité requérante ( ATF 121 II 241 consid. 3c p. 244). Contrairement à ce que soutient la recourante, l'autorité intimée ne s'est pas non plus écartée de la jurisprudence actuelle s'agissant de l'application de l' art. 28 al. 6 EIMP (cf. arrêts 1A.102/1998 du 27 juillet 1998, 1A.56/2000 du 17 avril 2000 et 1A.248/2006 du 1er février 2007).</w:t>
      </w:r>
    </w:p>
    <w:p>
      <w:r>
        <w:rPr>
          <w:b/>
        </w:rPr>
        <w:t>E. 3</w:t>
      </w:r>
    </w:p>
    <w:p>
      <w:r>
        <w:t>Le recours est par conséquent irrecevable (cf. arrêt 1C_367/2007 du 14 novembre 2007 concernant la même demande d'entraide). Conformément à l' art. 66 al. 1 LTF , les frais judiciaires sont mis à la charge de la recourante qui succombe. Le présent arrêt rend sans objet la demande de mémoire complétif ( art. 43 let. a LTF ; ATF 133 IV 125 consid. 2 p.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