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400/2017 vom 21. September 2017</w:t>
      </w:r>
    </w:p>
    <w:p>
      <w:r>
        <w:t>Bundesgericht, 2017-09-21, DE</w:t>
      </w:r>
    </w:p>
    <w:p>
      <w:r>
        <w:rPr>
          <w:b/>
        </w:rPr>
        <w:t xml:space="preserve">Quelle: </w:t>
      </w:r>
      <w:r>
        <w:t>https://mcp.opencaselaw.ch/entscheid/bger_1C_400_2017</w:t>
      </w:r>
    </w:p>
    <w:p>
      <w:r>
        <w:t>FR: TF 1C 400/2017 du 21 septembre 2017</w:t>
      </w:r>
    </w:p>
    <w:p>
      <w:r>
        <w:t>IT: TF 1C 400/2017 del 21 settembre 2017</w:t>
      </w:r>
    </w:p>
    <w:p>
      <w:pPr>
        <w:pStyle w:val="Heading2"/>
      </w:pPr>
      <w:r>
        <w:t>Regeste</w:t>
      </w:r>
    </w:p>
    <w:p>
      <w:r>
        <w:t>Auslieferung an Italien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gemäss Art. 84 Abs. 1 BGG insoweit möglich ist. Entgegen den Vorbringen des Beschwerdeführers handelt es sich jedoch um keinen besonders bedeutenden Fall. Die Vorinstanz hat sich mit den Einwänden des Beschwerdeführers eingehend auseinandergesetzt. Ihre Erwägungen lassen keine Bundesrechtsverletzung erkennen. Das gilt insbesondere, soweit es die Vorinstanz abgelehnt hat, die Nichtigkeit des Auslieferungsentscheids vom 13. Oktober 2016 anzunehmen, weil dem BJ darin ein Verschrieb unterlaufen ist. Da dieser offensichtlich war und der Beschwerdeführer wusste, worum es ging, entstand diesem dadurch kein Nachteil. Die Vorinstanz legt das zutreffend dar (angefochtener Entscheid E. 3 S. 5 ff.). Nicht zu beanstanden ist es auch, wenn die Vorinstanz die beidseitige Strafbarkeit bejaht (angefochtener Entscheid E. 4 S. 7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260ter StGB . Unter den Begriff der kriminellen Organisation fallen auch die verschiedenen Zweige, aus denen sich die 'Ndrangheta zusammensetzt (Urteil 1C_129/2017 vom 20. März 2017 E. 1.2). Art. 260ter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260ter StGB . Kein Bundesrecht verletzt es auch, wenn die Vorinstanz zum Schluss kommt, das BJ habe das ihm insoweit zustehende weite Ermessen nicht überschritten, wenn es die Auslieferung trotz gegebener schweizerischer Gerichtsbarkeit bewilligte (angefochtener Entscheid E. 5.3 S. 17 ff. mit Hinweisen insb. auf BGE 117 Ib 210 E. 3b S. 213 f. und das Urteil 1C_515/2013 vom 19. Juni 2013 E. 1.2). Auf die Erwägungen der Vorinstanz kann, was die Einzelheiten betrifft, gemäss Art. 109 Abs. 3 BGG vollumfänglich verwiesen werden. Rechtsfragen von grundsätzlicher Bedeutung stellen sich nicht. Dass dem Beschwerdeführer die Mitgliedschaft in der 'Ndrangheta vorgeworfen wird, genügt für die Annahme eines besonders bedeutenden Falles nicht (vgl. Urteil 1C_1/2011 vom 7. Januar 2011 E. 2.5), zumal keine Anhaltspunkte dafür bestehen, dass der Beschwerdeführer in dieser kriminellen Organisation, die nach den Feststellungen der Vorinstanz eine pyramidale Struktur aufweist, der höchsten Führungsebene zuzurechnen wäre. Liegt demnach kein besonders bedeutender Fall vor, ist die Beschwerde unzulässig.</w:t>
      </w:r>
    </w:p>
    <w:p>
      <w:r>
        <w:rPr>
          <w:b/>
        </w:rPr>
        <w:t>E. 1.3</w:t>
      </w:r>
    </w:p>
    <w:p>
      <w:r>
        <w:t>Auf den Antrag, dem Beschwerdeführer sei gemäss Art. 15 Abs. 1 IRSG i.V.m. Art. 429 und 431 StPO eine Entschädigung und Genugtuung zuzusprechen, kann schon deshalb nicht eingetreten werden, weil ihn der Beschwerdeführer nicht begründet, wozu er gemäss Art. 42 Abs. 2 BGG verpflichtet gewesen wäre.</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