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1C_400/2007 vom 20. November 2007</w:t>
      </w:r>
    </w:p>
    <w:p>
      <w:r>
        <w:t>Bundesgericht, 2007-11-20, FR</w:t>
      </w:r>
    </w:p>
    <w:p>
      <w:r>
        <w:rPr>
          <w:b/>
        </w:rPr>
        <w:t xml:space="preserve">Quelle: </w:t>
      </w:r>
      <w:r>
        <w:t>https://mcp.opencaselaw.ch/entscheid/bger_1C_400_2007</w:t>
      </w:r>
    </w:p>
    <w:p>
      <w:r>
        <w:t>FR: TF 1C_400/2007 du 20 novembre 2007</w:t>
      </w:r>
    </w:p>
    <w:p>
      <w:r>
        <w:t>IT: TF 1C_400/2007 del 20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que le cas serait particulièrement important, pour plusieurs raisons. Le TPF se serait écarté de la jurisprudence s'agissant de l'exigence d'une traduction certifiée, dont on ne pourrait se dispenser qu'à titre provisoire. La Cour des plaintes aurait aussi violé deux principes fondamentaux applicables à la procédure d'entraide: d'une part l'exigence de motivation de la demande ( art. 28 al. 3 EIMP ); d'autre part la condition de la double incrimination ( art. 64 al. 1 EIMP ). La recourante évoque également le blocage des avoirs de la famille X.________, y compris des personnes non impliquées.</w:t>
      </w:r>
    </w:p>
    <w:p>
      <w:r>
        <w:rPr>
          <w:b/>
        </w:rPr>
        <w:t>E. 2.3</w:t>
      </w:r>
    </w:p>
    <w:p>
      <w:r>
        <w:t>La décision de clôture porte bien sur la transmission de documents concernant le domaine secret. Toutefois, en dépit des explications de la recourante, le cas ne revêt pas d'importance particulière au regard de l' art. 84 LTF , dont le but est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La recourante, qui a son siège à Panama, n'est pas susceptible de pâtir de l'éventuel caractère fiscal de la procédure; elle ne se plaint par ailleurs pas de défauts qui entacheraient cette même procédure et seraient susceptibles de l'affecter. Les irrégularités qu'elle voit dans la procédure suisse d'entraide (en particulier concernant son droit d'être entendue et les conditions d'octroi de l'entraide qui feraient, selon elle, défaut), ne sauraient être assimilées à un défaut grave de la procédure étrangère, cette dernière expression devant être interprétée de manière restrictive. Les objections de la recourante sur le fond (motivation de la demande et double incrimination) ne suffisent évidemment pas à faire du présent cas une affaire de principe.</w:t>
      </w:r>
    </w:p>
    <w:p>
      <w:r>
        <w:t>Au surplus, l'affaire a trait essentiellement au respect du principe de la proportionnalité. Sur ce point,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 Contrairement à ce que soutient la recourante, l'autorité intimée ne s'est pas non plus écartée de la jurisprudence actuelle s'agissant de l'application de l' art. 28 al. 6 EIMP (cf. arrêts 1A.102/ 1998 du 27 juillet 1998, 1A.56/2000 du 17 avril 2000 et 1A.248/2006 du 1er février 2007).</w:t>
      </w:r>
    </w:p>
    <w:p>
      <w:r>
        <w:rPr>
          <w:b/>
        </w:rPr>
        <w:t>E. 3</w:t>
      </w:r>
    </w:p>
    <w:p>
      <w:r>
        <w:t>Le recours est par conséquent irrecevable (cf. arrêt 1C_367/2007 du 14 novembre 2007 concernant la même demande d'entraide). Conformément à l' art. 66 al. 1 LTF , les frais judiciaires sont mis à la charge de la recourante qui succombe. Le présent arrêt rend sans objet la demande de mémoire complétif ( art. 43 let. a LTF ; ATF 133 IV 125 consid. 2 p.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