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1C_39/2011 vom 23. März 2011</w:t>
      </w:r>
    </w:p>
    <w:p>
      <w:r>
        <w:t>Bundesgericht, 2011-03-23, DE</w:t>
      </w:r>
    </w:p>
    <w:p>
      <w:r>
        <w:rPr>
          <w:b/>
        </w:rPr>
        <w:t xml:space="preserve">Quelle: </w:t>
      </w:r>
      <w:r>
        <w:t>https://mcp.opencaselaw.ch/entscheid/bger_1C_39_2011</w:t>
      </w:r>
    </w:p>
    <w:p>
      <w:r>
        <w:t>FR: TF 1C_39/2011 du 23 mars 2011</w:t>
      </w:r>
    </w:p>
    <w:p>
      <w:r>
        <w:t>IT: TF 1C_39/2011 del 23 marzo 2011</w:t>
      </w:r>
    </w:p>
    <w:p>
      <w:pPr>
        <w:pStyle w:val="Heading2"/>
      </w:pPr>
      <w:r>
        <w:t>Erwägungen</w:t>
      </w:r>
    </w:p>
    <w:p>
      <w:r>
        <w:rPr>
          <w:b/>
        </w:rPr>
        <w:t>E. 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w:t>
      </w:r>
    </w:p>
    <w:p>
      <w:r>
        <w:t>Bei der Beantwortung der Frage, ob ein besonders bedeutender Fall gegeben ist, steht dem Bundesgericht ein weiter Ermessensspielraum zu ( BGE 134 IV 156 E. 1.3.1 S. 160 mit Hinweis).</w:t>
      </w:r>
    </w:p>
    <w:p>
      <w:r>
        <w:t>Erachtet das Bundesgericht eine Beschwerde auf dem Gebiet der internationalen Rechtshilfe in Strafsachen als unzulässig, so fällt es gemäss Art. 107 Abs. 3 BGG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w:t>
      </w:r>
    </w:p>
    <w:p>
      <w:r>
        <w:t>Es geht um die Übermittlung von Informationen aus dem Geheimbereich und damit um ein Sachgebiet, bei dem die Beschwerde insoweit nach Art. 84 Abs. 1 BGG möglich ist. Entgegen der Auffassung der Beschwerdeführer handelt es sich jedoch um keinen besonders bedeutenden Fall.</w:t>
      </w:r>
    </w:p>
    <w:p>
      <w:r>
        <w:t>Im Fall, der dem Urteil 1C_106/2007 vom 21. Mai 2007 zugrunde lag, war das Bundesstrafgericht auf eine gegen eine Schlussverfügung erhobene Beschwerde mangels Beschwerdelegitimation nicht eingetreten. Das Bundesgericht erwog, der Beschwerdeführer lege nicht dar, dass - die Beschwerdelegitimation angenommen - seine Beschwerde vor dem Bundesstrafgericht in der Sache ernsthafte Aussicht auf Erfolg gehabt hätte ( Art. 42 Abs. 2 BGG ). Dies sei auch nicht ersichtlich. Damit sei kein besonders bedeutender Fall gegeben. Für das Bundesgericht bestehe kein Anlass, zur streitigen Frage Stellung zu nehmen, der keine praktische Bedeutung zukomme (E. 1.3).</w:t>
      </w:r>
    </w:p>
    <w:p>
      <w:r>
        <w:t>Im vorliegenden Fall verhält es sich ebenso. Bei den von den Beschwerdeführern beim Bundesstrafgericht eingereichten Beschwerde handelt es sich um eine Laienbeschwerde (act. 9.1). Was die Beschwerdeführer darin vorbringen, ist offensichtlich ungeeignet, die Rechtswidrigkeit der Schlussverfügung (act. 2) darzutun. Die Beschwerdeführer äussern sich im Wesentlichen zu Fragen der Beweiswürdigung, was im Rechtshilfeverfahren unzulässig ist ( BGE 118 Ib 111 E. 5b; 117 Ib 64 E. 5c; je mit Hinweisen). Daran, dass die Bank- und weiteren Beweisunterlagen an die ersuchende Behörde herauszugeben sind, würde sich somit auch nichts ändern, wenn den Beschwerdeführern - wie von ihnen verlangt - eine Nachfrist zur Zahlung des Kostenvorschusses einzuräumen wäre und die Vorinstanz in der Folge die Beschwerde in der Sache zu behandeln hätte.</w:t>
      </w:r>
    </w:p>
    <w:p>
      <w:r>
        <w:t>Sind die von den Beschwerdeführern in der Beschwerde in öffentlich-rechtlichen Angelegenheiten erörterten Fragen im Ergebnis ohne Belang, kann der Fall nicht als besonders bedeutend im Sinne von Art. 84 BGG eingestuft werden.</w:t>
      </w:r>
    </w:p>
    <w:p>
      <w:r>
        <w:t>Die Beschwerde ist daher unzulässig.</w:t>
      </w:r>
    </w:p>
    <w:p>
      <w:r>
        <w:rPr>
          <w:b/>
        </w:rPr>
        <w:t>E. 3</w:t>
      </w:r>
    </w:p>
    <w:p>
      <w:r>
        <w:t>Bei diesem Ausgang des Verfahrens tragen die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