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1C_399/2019 vom 16. Juli 2020</w:t>
      </w:r>
    </w:p>
    <w:p>
      <w:r>
        <w:t>Bundesgericht, 2020-07-16, DE</w:t>
      </w:r>
    </w:p>
    <w:p>
      <w:r>
        <w:rPr>
          <w:b/>
        </w:rPr>
        <w:t xml:space="preserve">Quelle: </w:t>
      </w:r>
      <w:r>
        <w:t>https://mcp.opencaselaw.ch/entscheid/bger_1C_399_2019</w:t>
      </w:r>
    </w:p>
    <w:p>
      <w:r>
        <w:t>FR: TF 1C_399/2019 du 16 juillet 2020</w:t>
      </w:r>
    </w:p>
    <w:p>
      <w:r>
        <w:t>IT: TF 1C_399/2019 del 16 luglio 2020</w:t>
      </w:r>
    </w:p>
    <w:p>
      <w:pPr>
        <w:pStyle w:val="Heading2"/>
      </w:pPr>
      <w:r>
        <w:t>Erwägungen</w:t>
      </w:r>
    </w:p>
    <w:p>
      <w:r>
        <w:rPr>
          <w:b/>
        </w:rPr>
        <w:t>E. 1</w:t>
      </w:r>
    </w:p>
    <w:p>
      <w:r>
        <w:t>Angefochten ist ein kantonal letztinstanzlicher Entscheid in einer öffentlich-rechtlichen Angelegenheit ( Art. 82 ff. BGG ). Dagegen steht die Beschwerde in öffentlich-rechtlichen Angelegenheiten offen; ein Ausschlussgrund gemäss Art. 83 BGG liegt nicht vor.</w:t>
      </w:r>
    </w:p>
    <w:p>
      <w:r>
        <w:t>Der Beschwerdeführer ist als Adressat des angefochtenen Entscheids und regelmässiger Benutzer der Strassen und Plätze in der Gemeinde Cham ohne weiteres zur Beschwerde befugt. Die Beschwerde wurde ausserdem rechtzeitig erhoben ( Art. 100 Abs. 1 BGG ).</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142 I 135 E. 1.5 S. 144 mit Hinweisen). Soweit diese nicht eingehalten sind, ist auf die Rügen nicht einzutreten.</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Der Beschwerdeführer kritisiert verschiedene Aspekte des Auflageverfahrens und des Bauprojekts. Wie im Folgenden ausgeführt wird, genügt seine Beschwerde den erhöhten Begründungsanforderungen jedoch nicht und liegt ausserdem teilweise ausserhalb des Streitgegenstands. Soweit sich seiner Rechtsschrift hinreichend klar formulierte Rügen entnehmen lassen, verhält es sich dazu wie folgt:</w:t>
      </w:r>
    </w:p>
    <w:p>
      <w:r>
        <w:rPr>
          <w:b/>
        </w:rPr>
        <w:t>E. 3.1</w:t>
      </w:r>
    </w:p>
    <w:p>
      <w:r>
        <w:t>Der Beschwerdeführer kritisiert zunächst die Profilierung und das Auflageverfahren. Er macht sinngemäss geltend, das Verwaltungsgericht habe den Sachverhalt offensichtlich unrichtig festgestellt und sein rechtliches Gehör verletzt ( Art. 29 Abs. 2 BV ).</w:t>
      </w:r>
    </w:p>
    <w:p>
      <w:r>
        <w:t>Der Beschwerdeführer wiederholt jedoch lediglich seine bereits in der Einsprache und der Beschwerde ans Verwaltungsgericht geäusserten Rügen. Er zeigt dabei weder auf, dass die Sachverhaltsfeststellungen der Vorinstanz zur Profilierung und zum Auflageverfahren willkürlich sind, noch inwiefern er durch die angeblichen Mängel in seiner Einsprache behindert wurde. Seine Beschwerde zu den beiden Punkten genügt daher den erhöhten Begründungsanforderungen nicht; auf diese Rügen ist nicht einzutreten.</w:t>
      </w:r>
    </w:p>
    <w:p>
      <w:r>
        <w:rPr>
          <w:b/>
        </w:rPr>
        <w:t>E. 3.2</w:t>
      </w:r>
    </w:p>
    <w:p>
      <w:r>
        <w:t>Des Weiteren kritisiert der Beschwerdeführer mehrmals und in verschiedener Form das im Auflageprojekt vorgesehene Pfortensystem inkl. Kamera-Erfassungssystem und Mindestaufenthaltsdauer im Stadtkern zur Verkehrsberuhigung in Cham und macht sinngemäss offensichtlich unrichtige Sachverhaltsfeststellungen geltend. Er ist der Ansicht, die Mindestaufenthaltsdauer sowie das Bussensystem seien "abzuweisen". Wenn eine Mindestaufenthaltsdauer vorgeschrieben werde, müsse man auch genügend Parkplätze zur Verfügung stellen. Dies sei nicht der Fall.</w:t>
      </w:r>
    </w:p>
    <w:p>
      <w:r>
        <w:t>Er zeigt jedoch auch hier nicht auf, inwiefern die Sachverhaltsfeststellungen des Verwaltungsgerichts zu diesen Punkten offensichtlich unrichtig sind oder inwiefern das Pfortensystem kantonales oder Bundesrecht verletzt. Die Beschwerde ist auch in diesem Punkt nicht genügend begründet, weshalb auf diese Rügen nicht einzutreten ist.</w:t>
      </w:r>
    </w:p>
    <w:p>
      <w:r>
        <w:rPr>
          <w:b/>
        </w:rPr>
        <w:t>E. 3.3</w:t>
      </w:r>
    </w:p>
    <w:p>
      <w:r>
        <w:t>Betreffend die geplanten Strassenverengungen, den Tempo-30-Bereich und die Schaffung von Hindernissen führte das Verwaltungsgericht aus, die Strassenraumgestaltung im Zentrum von Cham erfolge unter der Federführung der Gemeinde Cham in einem separaten Projekt, das nicht Gegenstand des Projekts "Umfahrung Cham-Hünenberg" sei. Die entsprechenden Massnahmen würden zu einem späteren Zeitpunkt öffentlich aufgelegt und der Beschwerdeführer werde die Möglichkeit haben, dagegen Einsprache zu erheben.</w:t>
      </w:r>
    </w:p>
    <w:p>
      <w:r>
        <w:t>Der Einwand des Beschwerdeführers, es habe eine Abstimmung über diese Massnahmen stattzufinden, liegt somit ausserhalb des Streitgegenstands. Auf diese Rüge ist nicht einzutreten.</w:t>
      </w:r>
    </w:p>
    <w:p>
      <w:r>
        <w:rPr>
          <w:b/>
        </w:rPr>
        <w:t>E. 4</w:t>
      </w:r>
    </w:p>
    <w:p>
      <w:r>
        <w:t>Nach dem Gesagten ist nicht auf die Beschwerde einzutreten.</w:t>
      </w:r>
    </w:p>
    <w:p>
      <w:r>
        <w:t>Der Beschwerdeführer stellt ein Gesuch um unentgeltliche Prozessführung. Das Gesuch ist wegen Aussichtslosigkeit abzuweisen ( Art. 64 Abs. 1 BGG ). Angesichts seiner finanziellen Lage sind dem Beschwerdeführer reduzierte Gerichtskosten aufzuerlegen ( Art. 66 Abs. 1,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