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1C_399/2018 vom 4. September 2018</w:t>
      </w:r>
    </w:p>
    <w:p>
      <w:r>
        <w:t>Bundesgericht, 2018-09-04, DE</w:t>
      </w:r>
    </w:p>
    <w:p>
      <w:r>
        <w:rPr>
          <w:b/>
        </w:rPr>
        <w:t xml:space="preserve">Quelle: </w:t>
      </w:r>
      <w:r>
        <w:t>https://mcp.opencaselaw.ch/entscheid/bger_1C_399_2018</w:t>
      </w:r>
    </w:p>
    <w:p>
      <w:r>
        <w:t>FR: TF 1C_399/2018 du 4 septembre 2018</w:t>
      </w:r>
    </w:p>
    <w:p>
      <w:r>
        <w:t>IT: TF 1C_399/2018 del 4 settembre 2018</w:t>
      </w:r>
    </w:p>
    <w:p>
      <w:pPr>
        <w:pStyle w:val="Heading2"/>
      </w:pPr>
      <w:r>
        <w:t>Erwägungen</w:t>
      </w:r>
    </w:p>
    <w:p>
      <w:r>
        <w:rPr>
          <w:b/>
        </w:rPr>
        <w:t>E. 1</w:t>
      </w:r>
    </w:p>
    <w:p>
      <w:r>
        <w:t>Die Einzelrichterin des Bezirksgerichts Pfäffikon sprach A.________ mit Urteil vom 3. Oktober 2016 der einfachen Verletzung der Verkehrsregeln (Nichtanzeigen der Richtungswechsel sowie Rechtsüberholen) schuldig und verurteilte ihn zu einer Busse von Fr. 600.--. A.________ wird vorgeworfen, auf der Autobahn mit seinem Personenwagen auf der Normalspur rechts ein auf dem ersten Überholstreifen fahrendes ziviles Patrouillenfahrzeug der Kantonspolizei Zürich und ein weiteres Fahrzeug überholt zu haben, um anschliessend - ohne Anzeige des Richtungswechsels - auf den ersten Überholstreifen wechselnd, zwei weitere Fahrzeuge zu überholen, bevor er wieder auf die Normalspur wechselte.</w:t>
      </w:r>
    </w:p>
    <w:p>
      <w:r>
        <w:t>Das Strassenverkehrs- und Schifffahrtsamt des Kantons St. Gallen entzog A.________ mit Verfügung vom 16. Dezember 2016 den Führerausweis für einen Monat. Einen dagegen erhobenen Rekurs wies die Verwaltungsrekurskommission des Kantons St. Gallen mit Entscheid vom 30. November 2017 ab. A.________ erhob am 19. Dezember 2017 beim Verwaltungsgericht des Kantons St. Gallen Beschwerde gegen den Entscheid der Verwaltungsrekurskommission und ersuchte dabei um Gewährung der unentgeltlichen Rechtspflege. Das Verwaltungsgericht wies das Gesuch um unentgeltliche Rechtspflege mit Verfügung vom 20. Dezember 2017 ab. Auf eine dagegen erhobene Beschwerde trat das Bundesgericht mit Urteil vom 23. Januar 2018 nicht ein (Verfahren 1C_35/2018). Das Verwaltungsgericht wies die Beschwerde mit Entscheid vom 13. Juli 2018 ab. Zur Begründung führte es zusammenfassend aus, der Beschwerdeführer habe zwei Fahrzeuge rechts überholt und dabei eine erhöhte abstrakte Gefährdung für andere Verkehrsteilnehmer geschaffen. Die Vorinstanz habe daher zu Recht den beanstandeten Vorfall als mittelschwere Widerhandlung qualifiziert, welche eine gesetzliche Mindestentzugsdauer von einem Monat nach sich ziehe.</w:t>
      </w:r>
    </w:p>
    <w:p>
      <w:r>
        <w:rPr>
          <w:b/>
        </w:rPr>
        <w:t>E. 2</w:t>
      </w:r>
    </w:p>
    <w:p>
      <w:r>
        <w:t>Mit Eingabe vom 17. August 2018 (Postaufgabe 18. August 2018) führt A.________ Beschwerde in öffentlich-rechtlichen Angelegenheiten gegen den Entscheid des Verwaltungsgerichts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Begründung muss dabei in der Beschwerde selbst enthalten sein, Verweise auf andere Rechtsschriften oder die Akten reichen nicht aus ( BGE 140 III 115 E. 2 S. 116 mit Hinweisen).</w:t>
      </w:r>
    </w:p>
    <w:p>
      <w:r>
        <w:t>Der Beschwerdeführer vermag mit seinen Ausführungen, die teilweise ungebührlich sind, nicht aufzuzeigen, dass das Verwaltungsgericht seine Beschwerde in rechtswidriger Weise behandelt hätte. Er legt nicht ansatzweise dar, inwiefern die Begründung des Verwaltungsgerichts, die zur Abweisung der Beschwerde führte, bzw. der Entscheid des Verwaltungsgerichts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