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399/2010 vom 4. März 2011</w:t>
      </w:r>
    </w:p>
    <w:p>
      <w:r>
        <w:t>Bundesgericht, 2011-03-04, FR</w:t>
      </w:r>
    </w:p>
    <w:p>
      <w:r>
        <w:rPr>
          <w:b/>
        </w:rPr>
        <w:t xml:space="preserve">Quelle: </w:t>
      </w:r>
      <w:r>
        <w:t>https://mcp.opencaselaw.ch/entscheid/bger_1C_399_2010</w:t>
      </w:r>
    </w:p>
    <w:p>
      <w:r>
        <w:t>FR: TF 1C 399/2010 du 4 mars 2011</w:t>
      </w:r>
    </w:p>
    <w:p>
      <w:r>
        <w:t>IT: TF 1C 399/2010 del 4 marzo 2011</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le recourant possède la qualité pour recourir au sens de l' art. 89 al. 1 LTF et les conditions formelles de recevabilité sont remplies, de sorte qu'il y a lieu d'entrer en matière.</w:t>
      </w:r>
    </w:p>
    <w:p>
      <w:r>
        <w:rPr>
          <w:b/>
        </w:rPr>
        <w:t>E. 2</w:t>
      </w:r>
    </w:p>
    <w:p>
      <w:r>
        <w:t>Dans un grief d'ordre formel qu'il convient d'examiner en premier lieu, le recourant se plaint d'une violation de son droit d'être entendu. Il soutient qu'il n'aurait pas eu accès à certaines pièces et que le Tribunal administratif fédéral aurait omis à tort d'administrer un moyen de preuve.</w:t>
      </w:r>
    </w:p>
    <w:p>
      <w:r>
        <w:rPr>
          <w:b/>
        </w:rPr>
        <w:t>E. 2.1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286 consid. 5.1 p. 293; 129 II 497 consid. 2.2 p. 504 s.; 127 I 54 consid. 2b p. 56 et les arrêts cités).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 124 I 208 consid. 4a p. 211 et les arrêts cités).</w:t>
      </w:r>
    </w:p>
    <w:p>
      <w:r>
        <w:rPr>
          <w:b/>
        </w:rPr>
        <w:t>E. 2.2</w:t>
      </w:r>
    </w:p>
    <w:p>
      <w:r>
        <w:t>En l'espèce, le recourant reproche en premier lieu au Tribunal administratif fédéral d'avoir omis d'exiger de l'hôpital psychiatrique de Malévoz qu'il produise un rapport médical concernant l'état de santé de son épouse avant son suicide, moyen de preuve qui aurait pourtant auparavant été considéré comme "essentiel". Pour démontrer cette dernière affirmation, le recourant se réfère à deux ordonnances de l'autorité précitée datées des 25 mars et 14 mai 2010. Il ne ressort toutefois pas de ces documents que le moyen de preuve litigieux ait été considéré comme essentiel. En effet, la première de ces ordonnances invitait le recourant à préciser son allégué selon lequel son épouse avait été hospitalisée à Malévoz en indiquant, au moins de manière approximative, à quelle période cette hospitalisation avait eu lieu. Quant à la seconde ordonnance, elle ne faisait que constater que le juge instructeur n'avait pas le pouvoir de contraindre l'hôpital en question de fournir des renseignements à cet égard. Le Tribunal administratif fédéral n'a dès lors pas demandé au recourant de produire un rapport médical concernant l'état de santé de son épouse, ni laissé entendre qu'il s'agissait d'un moyen de preuve essentiel. On peut au contraire constater que ce tribunal, procédant à une appréciation anticipée des preuves, a estimé qu'un tel moyen de preuve n'était pas décisif pour trancher la présente cause, ce qui n'apparaît pas arbitraire. Ce premier grief doit donc être rejeté.</w:t>
      </w:r>
    </w:p>
    <w:p>
      <w:r>
        <w:rPr>
          <w:b/>
        </w:rPr>
        <w:t>E. 2.3</w:t>
      </w:r>
    </w:p>
    <w:p>
      <w:r>
        <w:t>Le recourant se plaint en outre du fait que les dossiers qu'il a pu consulter ne contenaient pas certaines pièces mentionnées dans l'arrêt attaqué, à savoir le permis de séjour octroyé à la suite de son mariage et la requête y relative, ainsi qu'une demande prématurée de naturalisation facilitée. Cette dernière figure pourtant dans le dossier de l'ODM que le recourant dit avoir consulté, le bordereau dudit dossier la répertoriant comme pièce n° 1. Or, rien n'indique que ce document ait été retiré du dossier au moment de sa consultation. Quant à l'existence d'une autorisation de séjour, elle est attestée par les documents annexés à la seconde demande de naturalisation (pièce n° 3 du dossier de l'ODM), qui mentionnent même le numéro de permis C dont bénéficiait l'intéressé. Au demeurant, on ne voit pas en quoi ce document, qui était nécessairement connu du recourant, aurait une quelconque incidence sur l'issue de la présente procédure. En définitive, le recourant ne démontre pas de violation de son droit d'être entendu en relation avec le droit de consulter le dossier.</w:t>
      </w:r>
    </w:p>
    <w:p>
      <w:r>
        <w:rPr>
          <w:b/>
        </w:rPr>
        <w:t>E. 3</w:t>
      </w:r>
    </w:p>
    <w:p>
      <w:r>
        <w:t>Pour le surplus, le recourant se plaint d'une mauvaise appréciation des preuves, subsidiairement d'une appréciation arbitraire de celles-ci. Il fait grief au Tribunal administratif fédéral d'avoir annulé la naturalisation facilitée en se fondant sur une simple vraisemblance, voire un présupposé, plutôt que sur une certitude.</w:t>
      </w:r>
    </w:p>
    <w:p>
      <w:r>
        <w:rPr>
          <w:b/>
        </w:rPr>
        <w:t>E. 3.1</w:t>
      </w:r>
    </w:p>
    <w:p>
      <w:r>
        <w:t>L'art. 27 de la loi fédérale du 29 septembre 1952 sur l'acquisition et la perte de la nationalité suisse (LN; RS 141.0) permet à un étranger d'obtenir la naturalisation facilitée en raison de son mariage avec un ressortissant suisse, à certaines conditions. Conformément à l' art. 41 al. 1 LN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faits essentiels. 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135 II 161 consid. 2 p. 165; 132 II 113 consid. 3.1 p. 115 et les références). Tel est notamment le cas si le requérant déclare vivre en communauté stable avec son conjoint alors qu'il envisage de se séparer une fois obtenue la naturalisation facilitée; peu importe que son mariage se soit ou non déroulé jusqu'ici de manière harmonieuse (arrêt 1C_272/2009 du 8 septembre 2009 consid. 3.1).</w:t>
      </w:r>
    </w:p>
    <w:p>
      <w:r>
        <w:rPr>
          <w:b/>
        </w:rPr>
        <w:t>E. 3.2</w:t>
      </w:r>
    </w:p>
    <w:p>
      <w:r>
        <w:t>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123 III 274 consid. 1a/cc p. 279; 116 V 307 consid. 2 p. 310 et les références). 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mais encore dans son propre intérêt, de renverser cette présomption ( ATF 130 II 482 consid. 3.2 p. 485 s.). S'agissant d'une présomption de fait, qui ressortit à l'appréciation des preuves et ne modifie pas le fardeau de la preuve ( ATF 135 II 161 consid. 3 p. 166 et les références),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 ATF 135 II 161 consid. 3 p. 166; arrêt 1C_199/2008 du 8 juillet 2009 consid. 3.2 et les références).</w:t>
      </w:r>
    </w:p>
    <w:p>
      <w:r>
        <w:rPr>
          <w:b/>
        </w:rPr>
        <w:t>E. 3.3</w:t>
      </w:r>
    </w:p>
    <w:p>
      <w:r>
        <w:t>Selon la jurisprudence, une présomption de fait selon laquelle la communauté conjugale n'était pas stable lors de l'octroi de la naturalisation peut être admise si la séparation des époux intervient quelques mois plus tard (cf. ATF 135 II 161 consid. 4.3 p. 168; 130 II 482 consid. 3.3 p. 486 s.). En l'occurrence, il s'est écoulé quatre mois entre l'octroi de la naturalisation et la suspension de la vie commune des époux, de sorte que la présomption susmentionnée peut être retenue. C'est en vain que le recourant conteste ce mécanisme de présomption, qui a été maintes fois confirmé ces dernières années, pour les motifs exposés dans la jurisprudence susmentionnée (cf. supra consid. 3.2). Le recourant tente de renverser cette présomption en expliquant qu'il a fait un "mariage d'amour" et qu'il a formé avec son épouse une véritable communauté conjugale pendant cinq ans. Il perd cependant de vue que le sérieux de l'union jusqu'à la demande de naturalisation n'est pas déterminant. Ce qui importe, c'est que le couple soit encore stable et tourné vers l'avenir au moment de cette requête, respectivement au moment de l'octroi de la naturalisation facilitée. L'exigence d'une "communauté conjugale" au sens de l' art. 27 al. 1 let . c LN présuppose en effet l'existence d'une véritable communauté de vie des conjoints, qui ne peut exister qu'avec une volonté commune et intacte de ceux-ci de maintenir une union conjugale stable ( ATF 135 II 161 consid. 2 p. 165; 128 II 97 consid. 3a p. 99 et les arrêts cités). S'il est vrai qu'il ne saurait être question d'imposer aux candidats à la naturalisation facilitée une sorte de modèle idéal de couple, il faut néanmoins qu'ils forment une communauté conjugale effective et que celle-ci présente un minimum de stabilité et apparaisse tournée vers l'avenir. Or, sur la base des éléments figurant au dossier, l'autorité intimée pouvait considérer que le couple du recourant ne présentait pas ces caractéristiques au moment de la signature de la déclaration du 3 juin 2004 et de l'octroi de la naturalisation le 31 août 2004. On peut notamment relever à ce égard que, sans nier les bons moments passés avec le recourant, son épouse a déclaré que le couple avait rencontré des problèmes depuis le début, que des tensions étaient déjà apparues avant la signature de la déclaration de vie commune et qu'elle avait signé ce document pour éviter de nouvelles difficultés avec son mari. Le Tribunal administratif fédéral est resté dans les limites de son pouvoir d'appréciation en estimant que le recourant n'avait pas renversé la présomption susmentionnée en rendant vraisemblable la survenance d'un événement susceptible d'expliquer une détérioration soudaine et rapide du lien conjugal. Il pouvait donc sans arbitraire considérer comme vraisemblable que la dégradation du couple était plutôt le fruit d'un processus relativement long, qui était déjà entamé au moment de la signature de la déclaration précitée, ce qui pouvait difficilement échapper au recourant. Dans ces conditions, l'annulation de la naturalisation facilitée ne viole pas les art. 27 et 41 LN et elle ne procède pas d'une appréciation des preuves erronée ou arbitraire, de sorte que ce grief doit lui aussi être rejeté.</w:t>
      </w:r>
    </w:p>
    <w:p>
      <w:r>
        <w:rPr>
          <w:b/>
        </w:rPr>
        <w:t>E. 4</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