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1C_398/2020 vom 16. Oktober 2020</w:t>
      </w:r>
    </w:p>
    <w:p>
      <w:r>
        <w:t>Bundesgericht, 2020-10-16, FR</w:t>
      </w:r>
    </w:p>
    <w:p>
      <w:r>
        <w:rPr>
          <w:b/>
        </w:rPr>
        <w:t xml:space="preserve">Quelle: </w:t>
      </w:r>
      <w:r>
        <w:t>https://mcp.opencaselaw.ch/entscheid/bger_1C_398_2020</w:t>
      </w:r>
    </w:p>
    <w:p>
      <w:r>
        <w:t>FR: TF 1C_398/2020 du 16 octobre 2020</w:t>
      </w:r>
    </w:p>
    <w:p>
      <w:r>
        <w:t>IT: TF 1C_398/2020 del 16 ottobre 2020</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précédente. En leur qualité de propriétaires voisins du projet de construction litigieux, ils sont particulièrement touchés par l'arrêt attaqué qui rétablit l'autorisation de construire délivrée à l'intimée le 1</w:t>
      </w:r>
    </w:p>
    <w:p>
      <w:r>
        <w:t>er mars 2019. Ils disposent donc de la qualité pour agir au sens de l' art. 89 al. 1 LTF . Les autres conditions de recevabilité du recours en matière de droit public sont réunies, si bien qu'il y a lieu d'entrer en matière sur le fond.</w:t>
      </w:r>
    </w:p>
    <w:p>
      <w:r>
        <w:rPr>
          <w:b/>
        </w:rPr>
        <w:t>E. 2</w:t>
      </w:r>
    </w:p>
    <w:p>
      <w:r>
        <w:t>Les recourants reprochent à la juridiction cantonale d'avoir violé leur droit d'être entendus en statuant sans tenir compte des observations qu'ils avaient produites spontanément par écriture du 4 juin 2020 en réponse à la réplique de la constructrice.</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142 III 48 consid. 4.1.1 p. 52). Il appartient aux parties, et non au juge, de décider si une prise de position ou une pièce nouvellement versée au dossier contient des éléments déterminants qui appellent des observations de leur part ( ATF 139 I 189 consid. 3.2 p. 192).</w:t>
      </w:r>
    </w:p>
    <w:p>
      <w:r>
        <w:t>Toute prise de position ou pièce nouvelle versée au dossier doit dès lors être communiquée aux parties pour leur permettre de décider si elles veulent ou non faire usage de leur faculté de se déterminer ( ATF 139 I 189 consid. 3.2 p. 192).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 ATF 138 I 484 consid. 2.2 p. 486; 133 I 100 consid. 4.8 p. 105).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6B_1094/2019 du 25 juin 2020 consid. 1.3.2 et 6B_1271/2016 du 10 novembre 2017 consid. 5.1 et les arrêts cités). En d'autres termes, une autorité ne peut considérer, après un délai de moins de dix jours depuis la communication d'une détermination à une partie, que celle-ci a renoncé à répliquer et rendre sa décision (arrêt 6B_1058/2018 du 17 décembre 2018 consid. 1.1). Ces principes valent également au stade d'un second échange d'écritures.</w:t>
      </w:r>
    </w:p>
    <w:p>
      <w:r>
        <w:rPr>
          <w:b/>
        </w:rPr>
        <w:t>E. 2.2</w:t>
      </w:r>
    </w:p>
    <w:p>
      <w:r>
        <w:t>Dans le cas particulier, la Chambre administrative a notifié aux parties recourantes, par courrier du 19 mai 2020, une copie de la réplique de la constructrice du 15 mai 2020 en les informant que la cause était gardée à juger. Le mandataire des époux A.________ et B.________ affirme avoir reçu le courrier concernant leurs mandants en son étude le 25 mai 2020. Le Tribunal fédéral n'a aucune raison de mettre en doute cette affirmation, compte tenu du fait allégué et non contesté que ce courrier a été transmis sous pli simple et que le 21 mai 2020 était un jour férié. Or, la Chambre administrative a rendu son arrêt le 29 mai 2020 de sorte qu'elle n'a pas été en mesure de prendre en considération les observations spontanées que les recourants lui ont valablement adressées dans le délai de dix jours tenu pour usuel par la jurisprudence pour se déterminer sur de nouvelles pièces. Il s'ensuit que le droit d'être entendus des recourants a été violé.</w:t>
      </w:r>
    </w:p>
    <w:p>
      <w:r>
        <w:rPr>
          <w:b/>
        </w:rPr>
        <w:t>E. 2.3</w:t>
      </w:r>
    </w:p>
    <w:p>
      <w:r>
        <w:t>Le droit d'être entendu est une garantie de nature formelle, dont la violation entraîne en principe l'annulation de la décision attaquée, indépendamment des chances de succès du recours sur le fond ( ATF 144 I 11 consid. 5.3 p. 17; 143 IV 380 consid. 1.4.1 p. 386). Sa violation peut cependant être réparée lorsque la partie lésée a la possibilité de s'exprimer devant une autorité de recours jouissant d'un pouvoir d'examen complet en fait et en droit ( ATF 145 I 167 consid. 4.4 p. 174; 142 II 218 consid. 2.8.1 p. 226). Dans les cas où, comme en l'espèce, la violation du droit d'être entendu porte sur une question juridique, le Tribunal fédéral peut la réparer s'il dispose du même pouvoir d'examen que l'instance précédente (arrêt 1C_302/2018 du 14 mars 2019 consid. 2.1).</w:t>
      </w:r>
    </w:p>
    <w:p>
      <w:r>
        <w:t>En l'espèce, une réparation de la violation du droit d'être entendus des recourants dans le cadre de la procédure fédérale n'entre pas en considération puisqu'elle est en lien avec l'application du droit cantonal dont le Tribunal fédéral revoit l'application non pas librement, mais sous l'angle de l'arbitraire (arrêt 1C_302/2018 du 14 mars 2019 consid. 2.2). Cette violation entraîne donc l'annulation de l'arrêt de la Chambre administrative, indépendamment des chances de succès du recours sur le fond.</w:t>
      </w:r>
    </w:p>
    <w:p>
      <w:r>
        <w:rPr>
          <w:b/>
        </w:rPr>
        <w:t>E. 3</w:t>
      </w:r>
    </w:p>
    <w:p>
      <w:r>
        <w:t>Il s'ensuit que le recours doit être admis et l'arrêt attaqué annulé, sans qu'il soit nécessaire d'examiner les autres griefs soulevés. La cause sera renvoyée à la cour cantonale pour qu'elle statue à nouveau en tenant compte des observations spontanées des recourants du 4 juin 2020.</w:t>
      </w:r>
    </w:p>
    <w:p>
      <w:r>
        <w:t>L'intimée, qui a conclu au rejet du recours, prendra en charge une partie des frais judiciaires même si elle n'est pas responsable du vice de procédure incriminé, dès lors qu'ils ne peuvent être mis à la charge de l'Etat de Genève en vertu de l' art. 66 al. 4 LTF (arrêt 5A_107/2019 du 19 juin 2019 consid. 3).</w:t>
      </w:r>
    </w:p>
    <w:p>
      <w:r>
        <w:t>Les recourants, qui obtiennent gain de cause avec l'assistance d'un avocat, ont droit à des dépens à la charge pour moitié chacun de l'intimée et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