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398/2017 vom 10. August 2017</w:t>
      </w:r>
    </w:p>
    <w:p>
      <w:r>
        <w:t>Bundesgericht, 2017-08-10, DE</w:t>
      </w:r>
    </w:p>
    <w:p>
      <w:r>
        <w:rPr>
          <w:b/>
        </w:rPr>
        <w:t xml:space="preserve">Quelle: </w:t>
      </w:r>
      <w:r>
        <w:t>https://mcp.opencaselaw.ch/entscheid/bger_1C_398_2017</w:t>
      </w:r>
    </w:p>
    <w:p>
      <w:r>
        <w:t>FR: TF 1C 398/2017 du 10 août 2017</w:t>
      </w:r>
    </w:p>
    <w:p>
      <w:r>
        <w:t>IT: TF 1C 398/2017 del 10 agosto 2017</w:t>
      </w:r>
    </w:p>
    <w:p>
      <w:pPr>
        <w:pStyle w:val="Heading2"/>
      </w:pPr>
      <w:r>
        <w:t>Regeste</w:t>
      </w:r>
    </w:p>
    <w:p>
      <w:r>
        <w:t>Auslieferung an Mazedonien | Rechtshilfe und Auslieferung</w:t>
      </w:r>
    </w:p>
    <w:p>
      <w:pPr>
        <w:pStyle w:val="Heading2"/>
      </w:pPr>
      <w:r>
        <w:t>Erwägungen</w:t>
      </w:r>
    </w:p>
    <w:p>
      <w:r>
        <w:rPr>
          <w:b/>
        </w:rPr>
        <w:t>E. 1</w:t>
      </w:r>
    </w:p>
    <w:p>
      <w:r>
        <w:t>Parallele Auslieferungs- und Asylverfahren sind wechselseitig zu koordinieren und werden auf der Stufe des Bundesgerichts zusammengeführt, um eine widerspruchsfreie Rechtsprechung unter Beachtung des Gebots des Non-Refoulement zu gewährleisten ( BGE 138 II 513 E. 1.2.1 S. 515 f. mit Hinweisen; Bundesgesetz vom 1. Oktober 2010 über die Koordination des Asyl- und des Auslieferungsverfahrens [AS 2011 925 ff.]). Am 4. September 2015 ersuchte der Beschwerdeführer in der Schweiz um Asyl. Das Staatssekretariat für Migration (SEM) lehnte das Gesuch am 17. Mai 2017 ab. Eine dagegen erhobene Beschwerde wurde vom Bundesverwaltungsgericht mit Urteil vom 2. Juni 2017 abgewiesen. In der Folge erhob der Beschwerdeführer beim Bundesgericht Beschwerde. Darüber befindet das Bundesgericht heute mit separatem Entscheid (Verfahren 1C_354/2017). Damit ist die Koordination von Auslieferungs- und Asylverfahren sichergestellt. Dem Bundesgericht liegen die Akten des Asylverfahrens vor ( Art. 55a IRSG ).</w:t>
      </w:r>
    </w:p>
    <w:p>
      <w:r>
        <w:rPr>
          <w:b/>
        </w:rPr>
        <w:t>E. 2.1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2.2</w:t>
      </w:r>
    </w:p>
    <w:p>
      <w:r>
        <w:t>Vorliegend handelt es sich nicht um einen besonders bedeutenden Fall: Der Beschwerdeführer macht geltend, er sei vom Islam zum Christentum konvertiert, weshalb seine Familie den Kontakt zu ihm abgebrochen habe und sein Bruder Leute aus seinem Dorf auf ihn hetze. Es sei nur eine Frage der Zeit, bis er getötet werde. Weiter weist er darauf hin, dass er in der Schweiz psychologisch betreut worden sei. Das Bundesstrafgericht hat sich mit diesen Einwänden auseinandergesetzt und kam in nachvollziehbarer Weise zum Schluss, dass die Befürchtungen des Beschwerdeführers unbegründet seien. Auch gebe es keine Anzeichen, dass die Auslieferung aus gesundheitlichen Gründen nicht möglich sei. Auf die vorinstanzlichen Erwägungen, die nicht zu beanstanden sind, kann verwiesen werden. Rechtsfragen von grundsätzlicher Bedeutung stellen sich nicht. Auch sonst ist der Fall nicht von aussergewöhnlicher Tragweite. Für das Bundesgericht besteht daher kein Anlass, die Sache an die Hand zu nehmen.</w:t>
      </w:r>
    </w:p>
    <w:p>
      <w:r>
        <w:rPr>
          <w:b/>
        </w:rPr>
        <w:t>E. 3</w:t>
      </w:r>
    </w:p>
    <w:p>
      <w:r>
        <w:t>Die Beschwerde ist deshalb unzulässig. Bei diesem Ausgang des Verfahrens sind die Gerichtskosten dem Beschwerdeführer aufzuerlegen. Angesichts der persönlichen Situation des Beschwerdeführers ist es gerechtfertigt, die Kosten tiefer als üblich festzusetzen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