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1C_397/2019 vom 6. September 2019</w:t>
      </w:r>
    </w:p>
    <w:p>
      <w:r>
        <w:t>Bundesgericht, 2019-09-06, DE</w:t>
      </w:r>
    </w:p>
    <w:p>
      <w:r>
        <w:rPr>
          <w:b/>
        </w:rPr>
        <w:t xml:space="preserve">Quelle: </w:t>
      </w:r>
      <w:r>
        <w:t>https://mcp.opencaselaw.ch/entscheid/bger_1C_397_2019</w:t>
      </w:r>
    </w:p>
    <w:p>
      <w:r>
        <w:t>FR: TF 1C_397/2019 du 6 septembre 2019</w:t>
      </w:r>
    </w:p>
    <w:p>
      <w:r>
        <w:t>IT: TF 1C_397/2019 del 6 settembre 2019</w:t>
      </w:r>
    </w:p>
    <w:p>
      <w:pPr>
        <w:pStyle w:val="Heading2"/>
      </w:pPr>
      <w:r>
        <w:t>Erwägungen</w:t>
      </w:r>
    </w:p>
    <w:p>
      <w:r>
        <w:rPr>
          <w:b/>
        </w:rPr>
        <w:t>E. 1</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Donatsch/Heimgartner/Meyer/Simonek, Internationale Rechtshilfe, 2. Auflage,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t>Nach der Praxis des Bundesgerichtes kann auch die drohende Verletzung elementarer Verfahrensgrundsätze im schweizerischen Rechtshilfeverfahren - etwa des rechtlichen Gehörs -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w:t>
      </w:r>
    </w:p>
    <w:p>
      <w:r>
        <w:t>Die Beschwerdeführerin begründet das Vorliegen eines besonders bedeutenden Rechtshilfefalles wie folgt: Aufgrund einer von Griechenland auf den 1. Juli 2019 in Kraft gesetzten Gesetzesänderung könnten die Beschuldigten in Griechenland seither nicht mehr wegen passiver oder aktiver Bestechung verfolgt werden. Es fehle an der beidseitigen Strafbarkeit. Dabei handle es sich um eine Rechtsfrage von grundsätzlicher Tragweite, die vom Bundesgericht bisher noch nicht geprüft worden sei. Ausserdem habe die BA elementare Verfahrensgrundsätze verletzt, indem sie die amtlichen Akten "offenbar unvollständig" erfasst bzw. nicht alle Parteieingaben einbezogen habe.</w:t>
      </w:r>
    </w:p>
    <w:p>
      <w:r>
        <w:rPr>
          <w:b/>
        </w:rPr>
        <w:t>E. 2.1</w:t>
      </w:r>
    </w:p>
    <w:p>
      <w:r>
        <w:t>Mit ihrer Berufung auf kürzlich in Kraft getretenes griechisches Strafrecht wiederholt die Beschwerdeführerin ihren materiellen Standpunkt, wonach es an der Rechtshilfevoraussetzung der beidseitigen Strafbarkeit fehle. Damit hat sich die Vorinstanz ausführlich befasst. Das Bundesstrafgericht erwägt insbesondere, für die Prüfung der beidseitigen Strafbarkeit sei der im Ersuchen dargelegte Sachverhalt nach schweizerischem Strafrecht so zu subsumieren, wie wenn die hiesigen Strafbehörden wegen eines (der schweizerischen Strafhoheit unterliegenden) analogen Sachverhaltes ein Strafverfahren eingeleitet hätten. Der schweizerische Rechtshilferichter prüfe, ob der Sachverhalt (falls er analog in der Schweiz verwirklicht worden wäre) prima facie die Tatbestandsmerkmale einer schweizerischen Strafnorm erfüllen würde. Was das ausländische Strafrecht (des ersuchenden Staates) betrifft, bräuchten die im Ersuchen dargelegten Straftatbestände mit den schweizerischen Strafnormen nicht identisch zu sein. Unter Vorbehalt einer Missbrauchsprüfung (in begründeten Ausnahmefällen) habe der Rechtshilferichter grundsätzlich auch nicht zu beurteilen, ob die im Ersuchen dargelegten Straftatbestände des ausländischen Rechts erfüllt seien oder nicht. Die Vorinstanz verweist diesbezüglich auf die einschlägige Praxis des Bundesgerichtes. Die Strafbarkeit nach schweizerischem Recht sei im vorliegenden Fall grundsätzlich gegeben und von der Beschwerdeführerin nicht bestritten worden. Gemäss den nachvollziehbaren Angaben der ersuchenden Behörde sei der inkriminierte Sachverhalt auch nach griechischem Recht strafbar. Zusätzliche Abklärungen zum ausländischen Recht habe das Bundesstrafgericht nicht vorzunehmen. Insbesondere habe sich der Rechtshilferichter mit dem von der Beschwerdeführerin eingereichten Parteigutachten vom 1. Juli 2019 zum griechischen Korruptionsstrafrecht bzw. mit ihren diesbezüglichen Rechtsbehauptungen nicht näher zu befassen (vgl. angefochtener Entscheid, E. 8, S. 14-16).</w:t>
      </w:r>
    </w:p>
    <w:p>
      <w:r>
        <w:t>In diesem Zusammenhang stellen sich keine Rechtsfragen von grundsätzlicher Tragweite. Der angefochtene Entscheid stützt sich bei der Prüfung der beidseitigen Strafbarkeit auf die massgeblichen Rechtsquellen und die einschlägige Praxis des Bundesgerichtes, auf die zurückzukommen hier kein Anlass besteht.</w:t>
      </w:r>
    </w:p>
    <w:p>
      <w:r>
        <w:rPr>
          <w:b/>
        </w:rPr>
        <w:t>E. 2.2</w:t>
      </w:r>
    </w:p>
    <w:p>
      <w:r>
        <w:t>Ebenso wenig bestehen objektive Anhaltspunkte für eine Verletzung elementarer Verfahrensgrundsätze im innerstaatlichen Verfahren:</w:t>
      </w:r>
    </w:p>
    <w:p>
      <w:r>
        <w:t>Die Beschwerdeführerin stellt sich auf den Standpunkt, die BA habe die amtlichen Akten "offenbar unvollständig" erfasst bzw. nicht alle Parteieingaben einbezogen. Im angefochtenen Entscheid wird diesbezüglich erwogen, die Beschwerdeführerin habe im vorinstanzlichen Verfahren nicht ausgeführt, in welche Akten der verschiedenen konnexen Rechtshilfeverfahren sie erfolglos Einsicht verlangt hätte. Ebenso wenig habe sie entsprechende Schreiben an die BA bei der Vorinstanz eingereicht. Die Beschwerdeführerin bestreitet die Tatsachenfeststellungen des Bundesstrafgerichtes nicht. Sie macht geltend, diese liessen sich "damit begründen, dass sie davon ausgegangen" sei, ein solches Schreiben befände sich "bei den amtlichen Akten". Aus welchen Gründen dies offenbar nicht der Fall sei, entziehe sich ihrer Kenntnis.</w:t>
      </w:r>
    </w:p>
    <w:p>
      <w:r>
        <w:t>Diese Vorbringen setzen sich mit den ausführlichen einschlägigen Erwägungen der Vorinstanz betreffend Aktenerhebung in den konnexen Rechtshilfeverfahren, Akteneinsicht und rechtliches Gehör nicht nachvollziehbar auseinander und begründen keine objektiven Anhaltspunkte für eine Verletzung elementarer Verfahrensgrundsätze (vgl. angefochtener Entscheid, E. 5, S. 7-10). Es besteht auch kein Anlass, in diesem Zusammenhang auf unzulässige Noven der Beschwerdeführerin einzugehen.</w:t>
      </w:r>
    </w:p>
    <w:p>
      <w:r>
        <w:rPr>
          <w:b/>
        </w:rPr>
        <w:t>E. 3</w:t>
      </w:r>
    </w:p>
    <w:p>
      <w:r>
        <w:t>Auf die Beschwerde ist nicht einzutreten.</w:t>
      </w:r>
    </w:p>
    <w:p>
      <w:r>
        <w:t>Die Gerichtskosten sind der Beschwerdeführerin aufzuerlegen ( Art. 66 Abs. 1 BGG ). Eine Parteientschädigung ist nicht zuzusprechen ( Art. 68 BGG ). Mit dem vorliegenden Entscheid in der Sache wird das Gesuch um aufschiebende Wirkung der Beschwerde hinfällig, um so mehr, als diese Wirkung - angesichts der streitigen Übermittlung von Auskünften aus dem Geheimbereich - schon von Gesetzes wegen bestand (vgl.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