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1C_397/2017 vom 7. August 2017</w:t>
      </w:r>
    </w:p>
    <w:p>
      <w:r>
        <w:t>Bundesgericht, 2017-08-07, DE</w:t>
      </w:r>
    </w:p>
    <w:p>
      <w:r>
        <w:rPr>
          <w:b/>
        </w:rPr>
        <w:t xml:space="preserve">Quelle: </w:t>
      </w:r>
      <w:r>
        <w:t>https://mcp.opencaselaw.ch/entscheid/bger_1C_397_2017</w:t>
      </w:r>
    </w:p>
    <w:p>
      <w:r>
        <w:t>FR: TF 1C_397/2017 du 7 août 2017</w:t>
      </w:r>
    </w:p>
    <w:p>
      <w:r>
        <w:t>IT: TF 1C_397/2017 del 7 agosto 2017</w:t>
      </w:r>
    </w:p>
    <w:p>
      <w:pPr>
        <w:pStyle w:val="Heading2"/>
      </w:pPr>
      <w:r>
        <w:t>Erwägungen</w:t>
      </w:r>
    </w:p>
    <w:p>
      <w:r>
        <w:rPr>
          <w:b/>
        </w:rPr>
        <w:t>E. 1.1</w:t>
      </w:r>
    </w:p>
    <w:p>
      <w:r>
        <w:t>Gemäss Art. 84 BGG ist gegen einen Entscheid auf dem Gebiet der internationalen Rechtshilfe in Strafsachen die Beschwerde nur zulässig, wenn er unter anderem eine Herausgabe von Vermögenswerten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 BGE 134 IV 156 E. 1.3.1 S. 160 mit Hinweisen). Ein besonders bedeutender Fall ist mit Zurückhaltung anzunehmen ( BGE 136 IV 139 E. 2.4 S. 144 mit Hinweis).</w:t>
      </w:r>
    </w:p>
    <w:p>
      <w:r>
        <w:t>Bei der Beantwortung der Frage, ob ein besonders bedeutender Fall gegeben ist, steht dem Bundesgericht ein weiter Ermessensspielraum zu ( BGE 134 IV 156 E. 1.3.1 S. 160 mit Hinweis).</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hier um die Herausgabe von Vermögenswerten und damit um ein Sachgebiet, bei dem die Beschwerde nach Art. 84 Abs. 1 BGG insoweit möglich ist. Es handelt sich jedoch um keinen besonders bedeutenden Fall.</w:t>
      </w:r>
    </w:p>
    <w:p>
      <w:r>
        <w:t>Das Bundesstrafgericht legte dar, dass nach Art. 14 Abs. 2 des Übereinkommens vom 8. November 1990 über Geldwäscherei sowie Ermittlung, Beschlagnahme und Einziehung von Erträgen aus Straftaten (SR 0.311.53) die ersuchte Vertragspartei an die tatsächlichen Feststellungen gebunden sei, soweit sie in einer Verurteilung oder einer gerichtlichen Entscheidung der ersuchenden Vertragspartei dargelegt sind oder der Verurteilung oder Entscheidung stillschweigend zugrunde liegen. Weiter hielt es nach einer Zusammenfassung des türkischen Einziehungsurteils vom 29. März 2013 fest, dieses scheine nicht offensichtlich unzutreffend.</w:t>
      </w:r>
    </w:p>
    <w:p>
      <w:r>
        <w:t>Der Beschwerdeführer bringt dagegen vor, er sei in jenem Verfahren weder anwesend noch vertreten gewesen. Zudem sei das Einziehungsurteil inhaltlich falsch, da es davon ausgehe, sämtliche vom Rechtshilfeersuchen erfassten Vermögenswerte seien deliktischen Ursprungs. Ein Teil dieser Vermögenswerte sei jedoch "älter" als die behaupteten Straftaten.</w:t>
      </w:r>
    </w:p>
    <w:p>
      <w:r>
        <w:t>Gemäss den Erwägungen im angefochtenen Entscheid war der Beschwerdeführer im erwähnten türkischen Verfahren vertreten gewesen. Selbst wenn seine gegenteilige Behauptung zutreffe, habe er jedenfalls vom Einziehungsurteil spätestens im Rechtshilfeverfahren Kenntnis erhalten. Spätestens in diesem Zeitpunkt hätte er bei der türkischen Justiz intervenieren können. Dass er dies versucht hätte oder dass ein entsprechender Versuch von vornherein aussichtslos gewesen wäre, macht er nicht geltend. Nach der bundesgerichtlichen Rechtsprechung ist es unter diesen Voraussetzungen nicht möglich, entsprechende Mängel erst im Rechtshilfeverfahren geltend zu machen (Urteil 1C_431/2008 vom 22. Januar 2009 E. 4 mit Hinweis).</w:t>
      </w:r>
    </w:p>
    <w:p>
      <w:r>
        <w:t>Eine rechtliche Grundsatzfrage stellt sich nicht. Auch sonst bringt der Beschwerdeführer nichts vor, was es rechtfertigen könnte, den vorliegenden Fall als besonders bedeutend einzustufen.</w:t>
      </w:r>
    </w:p>
    <w:p>
      <w:r>
        <w:rPr>
          <w:b/>
        </w:rPr>
        <w:t>E. 2</w:t>
      </w:r>
    </w:p>
    <w:p>
      <w:r>
        <w:t>Auf die Beschwerde ist aus den genannten Gründen nicht einzutreten.</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